
<file path=[Content_Types].xml><?xml version="1.0" encoding="utf-8"?>
<Types xmlns="http://schemas.openxmlformats.org/package/2006/content-types">
  <Default Extension="png" ContentType="image/png"/>
  <Default Extension="jfif"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F8" w:rsidRPr="00B02EF8" w:rsidRDefault="00B02EF8">
      <w:pPr>
        <w:rPr>
          <w:rFonts w:ascii="Arial" w:hAnsi="Arial" w:cs="Arial"/>
          <w:sz w:val="24"/>
        </w:rPr>
      </w:pPr>
      <w:r w:rsidRPr="00B02EF8">
        <w:rPr>
          <w:rFonts w:ascii="Arial" w:hAnsi="Arial" w:cs="Arial"/>
          <w:sz w:val="24"/>
        </w:rPr>
        <w:t>Bogotá D.C., 30 de julio de 2019</w:t>
      </w:r>
    </w:p>
    <w:p w:rsidR="00B02EF8" w:rsidRPr="00B02EF8" w:rsidRDefault="00B02EF8">
      <w:pPr>
        <w:rPr>
          <w:rFonts w:ascii="Arial" w:hAnsi="Arial" w:cs="Arial"/>
          <w:sz w:val="24"/>
        </w:rPr>
      </w:pPr>
    </w:p>
    <w:p w:rsidR="00B02EF8" w:rsidRDefault="00B02EF8" w:rsidP="00B02EF8">
      <w:pPr>
        <w:rPr>
          <w:rFonts w:ascii="Arial" w:hAnsi="Arial" w:cs="Arial"/>
          <w:sz w:val="24"/>
        </w:rPr>
      </w:pPr>
      <w:r w:rsidRPr="00B02EF8">
        <w:rPr>
          <w:rFonts w:ascii="Arial" w:hAnsi="Arial" w:cs="Arial"/>
          <w:sz w:val="24"/>
        </w:rPr>
        <w:t>Doctor</w:t>
      </w:r>
      <w:r w:rsidRPr="00B02EF8">
        <w:rPr>
          <w:rFonts w:ascii="Arial" w:hAnsi="Arial" w:cs="Arial"/>
          <w:sz w:val="24"/>
        </w:rPr>
        <w:br/>
      </w:r>
      <w:r w:rsidRPr="00B02EF8">
        <w:rPr>
          <w:rFonts w:ascii="Arial" w:hAnsi="Arial" w:cs="Arial"/>
          <w:b/>
          <w:sz w:val="24"/>
        </w:rPr>
        <w:t>GREGORIO ELJACH PACHECO</w:t>
      </w:r>
      <w:r w:rsidRPr="00B02EF8">
        <w:rPr>
          <w:rFonts w:ascii="Arial" w:hAnsi="Arial" w:cs="Arial"/>
          <w:b/>
          <w:sz w:val="24"/>
        </w:rPr>
        <w:br/>
      </w:r>
      <w:r w:rsidRPr="00B02EF8">
        <w:rPr>
          <w:rFonts w:ascii="Arial" w:hAnsi="Arial" w:cs="Arial"/>
          <w:sz w:val="24"/>
        </w:rPr>
        <w:t>Secretario General</w:t>
      </w:r>
      <w:r>
        <w:rPr>
          <w:rFonts w:ascii="Arial" w:hAnsi="Arial" w:cs="Arial"/>
          <w:sz w:val="24"/>
        </w:rPr>
        <w:br/>
      </w:r>
      <w:r w:rsidRPr="00B02EF8">
        <w:rPr>
          <w:rFonts w:ascii="Arial" w:hAnsi="Arial" w:cs="Arial"/>
          <w:sz w:val="24"/>
        </w:rPr>
        <w:t>Senado de la República</w:t>
      </w:r>
      <w:r w:rsidRPr="00B02EF8">
        <w:rPr>
          <w:rFonts w:ascii="Arial" w:hAnsi="Arial" w:cs="Arial"/>
          <w:sz w:val="24"/>
        </w:rPr>
        <w:br/>
        <w:t>Ciudad</w:t>
      </w:r>
    </w:p>
    <w:p w:rsidR="00B02EF8" w:rsidRDefault="00B02EF8" w:rsidP="00B02EF8">
      <w:pPr>
        <w:ind w:left="708"/>
        <w:rPr>
          <w:rFonts w:ascii="Arial" w:hAnsi="Arial" w:cs="Arial"/>
          <w:b/>
          <w:sz w:val="24"/>
        </w:rPr>
      </w:pPr>
    </w:p>
    <w:p w:rsidR="00B02EF8" w:rsidRPr="00B02EF8" w:rsidRDefault="00B02EF8" w:rsidP="00B02EF8">
      <w:pPr>
        <w:ind w:left="708"/>
        <w:rPr>
          <w:rFonts w:ascii="Arial" w:hAnsi="Arial" w:cs="Arial"/>
          <w:i/>
          <w:sz w:val="24"/>
        </w:rPr>
      </w:pPr>
      <w:r w:rsidRPr="00B02EF8">
        <w:rPr>
          <w:rFonts w:ascii="Arial" w:hAnsi="Arial" w:cs="Arial"/>
          <w:b/>
          <w:sz w:val="24"/>
        </w:rPr>
        <w:t>Asunto:</w:t>
      </w:r>
      <w:r w:rsidRPr="00B02EF8">
        <w:rPr>
          <w:rFonts w:ascii="Arial" w:hAnsi="Arial" w:cs="Arial"/>
          <w:sz w:val="24"/>
        </w:rPr>
        <w:t xml:space="preserve"> Radicación de Proyecto de Ley </w:t>
      </w:r>
      <w:r w:rsidRPr="00B02EF8">
        <w:rPr>
          <w:rFonts w:ascii="Arial" w:hAnsi="Arial" w:cs="Arial"/>
          <w:i/>
          <w:sz w:val="24"/>
        </w:rPr>
        <w:t>“Por medio de la cual se promueve      el acceso a información necesaria sobre el consumo de medicamentos de venta libre para fomentar entornos saludable</w:t>
      </w:r>
      <w:bookmarkStart w:id="0" w:name="_GoBack"/>
      <w:bookmarkEnd w:id="0"/>
      <w:r w:rsidRPr="00B02EF8">
        <w:rPr>
          <w:rFonts w:ascii="Arial" w:hAnsi="Arial" w:cs="Arial"/>
          <w:i/>
          <w:sz w:val="24"/>
        </w:rPr>
        <w:t xml:space="preserve">s, prevenir la </w:t>
      </w:r>
      <w:r w:rsidR="00720F64">
        <w:rPr>
          <w:rFonts w:ascii="Arial" w:hAnsi="Arial" w:cs="Arial"/>
          <w:i/>
          <w:sz w:val="24"/>
        </w:rPr>
        <w:t>Automedicación</w:t>
      </w:r>
      <w:r w:rsidRPr="00B02EF8">
        <w:rPr>
          <w:rFonts w:ascii="Arial" w:hAnsi="Arial" w:cs="Arial"/>
          <w:i/>
          <w:sz w:val="24"/>
        </w:rPr>
        <w:t xml:space="preserve"> y se adoptan otras disposiciones” </w:t>
      </w:r>
    </w:p>
    <w:p w:rsidR="00B02EF8" w:rsidRPr="00B02EF8" w:rsidRDefault="00B02EF8">
      <w:pPr>
        <w:rPr>
          <w:rFonts w:ascii="Arial" w:hAnsi="Arial" w:cs="Arial"/>
          <w:sz w:val="24"/>
        </w:rPr>
      </w:pPr>
      <w:r w:rsidRPr="00B02EF8">
        <w:rPr>
          <w:rFonts w:ascii="Arial" w:hAnsi="Arial" w:cs="Arial"/>
          <w:sz w:val="24"/>
        </w:rPr>
        <w:br/>
        <w:t>Respetado Doctor Eljach,</w:t>
      </w:r>
    </w:p>
    <w:p w:rsidR="00B02EF8" w:rsidRPr="00B02EF8" w:rsidRDefault="0048495F" w:rsidP="00B02EF8">
      <w:pPr>
        <w:spacing w:line="360" w:lineRule="auto"/>
        <w:jc w:val="both"/>
        <w:rPr>
          <w:rFonts w:ascii="Arial" w:hAnsi="Arial" w:cs="Arial"/>
          <w:sz w:val="24"/>
        </w:rPr>
      </w:pPr>
      <w:r>
        <w:rPr>
          <w:rFonts w:ascii="Arial" w:hAnsi="Arial" w:cs="Arial"/>
          <w:sz w:val="24"/>
        </w:rPr>
        <w:br/>
      </w:r>
      <w:r w:rsidR="00B02EF8" w:rsidRPr="00B02EF8">
        <w:rPr>
          <w:rFonts w:ascii="Arial" w:hAnsi="Arial" w:cs="Arial"/>
          <w:sz w:val="24"/>
        </w:rPr>
        <w:t xml:space="preserve">En mi calidad de Senador de la República y, en uso de las atribuciones que me han sido conferidas constitucional y legalmente, me permito respetuosamente radicar el proyecto de ley de la referencia y le solicito se sirva dar inicio al trámite legislativo respectivo. </w:t>
      </w:r>
    </w:p>
    <w:p w:rsidR="00B02EF8" w:rsidRDefault="00B02EF8">
      <w:pPr>
        <w:rPr>
          <w:rFonts w:ascii="Arial" w:hAnsi="Arial" w:cs="Arial"/>
          <w:sz w:val="24"/>
        </w:rPr>
      </w:pPr>
    </w:p>
    <w:p w:rsidR="00B02EF8" w:rsidRPr="00B02EF8" w:rsidRDefault="00B02EF8">
      <w:pPr>
        <w:rPr>
          <w:rFonts w:ascii="Arial" w:hAnsi="Arial" w:cs="Arial"/>
          <w:sz w:val="24"/>
        </w:rPr>
      </w:pPr>
      <w:r>
        <w:rPr>
          <w:rFonts w:ascii="Arial" w:hAnsi="Arial" w:cs="Arial"/>
          <w:sz w:val="24"/>
        </w:rPr>
        <w:t>De</w:t>
      </w:r>
      <w:r w:rsidRPr="00B02EF8">
        <w:rPr>
          <w:rFonts w:ascii="Arial" w:hAnsi="Arial" w:cs="Arial"/>
          <w:sz w:val="24"/>
        </w:rPr>
        <w:t xml:space="preserve"> los honorables congresistas, </w:t>
      </w:r>
    </w:p>
    <w:p w:rsidR="00B02EF8" w:rsidRDefault="00B02EF8">
      <w:pPr>
        <w:rPr>
          <w:rFonts w:ascii="Arial" w:hAnsi="Arial" w:cs="Arial"/>
          <w:sz w:val="24"/>
        </w:rPr>
      </w:pPr>
    </w:p>
    <w:p w:rsidR="00B02EF8" w:rsidRDefault="00B02EF8">
      <w:pPr>
        <w:rPr>
          <w:rFonts w:ascii="Arial" w:hAnsi="Arial" w:cs="Arial"/>
          <w:sz w:val="24"/>
        </w:rPr>
      </w:pPr>
    </w:p>
    <w:p w:rsidR="00B02EF8" w:rsidRDefault="00B02EF8">
      <w:pPr>
        <w:rPr>
          <w:rFonts w:ascii="Arial" w:hAnsi="Arial" w:cs="Arial"/>
          <w:b/>
          <w:sz w:val="24"/>
          <w:szCs w:val="24"/>
        </w:rPr>
      </w:pPr>
      <w:r w:rsidRPr="00B02EF8">
        <w:rPr>
          <w:rFonts w:ascii="Arial" w:hAnsi="Arial" w:cs="Arial"/>
          <w:b/>
          <w:sz w:val="24"/>
        </w:rPr>
        <w:t>GUSTAVO BOLÍVAR MORENO</w:t>
      </w:r>
      <w:r w:rsidRPr="00B02EF8">
        <w:rPr>
          <w:rFonts w:ascii="Arial" w:hAnsi="Arial" w:cs="Arial"/>
          <w:b/>
          <w:sz w:val="24"/>
        </w:rPr>
        <w:br/>
      </w:r>
      <w:r w:rsidRPr="00B02EF8">
        <w:rPr>
          <w:rFonts w:ascii="Arial" w:hAnsi="Arial" w:cs="Arial"/>
          <w:sz w:val="24"/>
        </w:rPr>
        <w:t>Senador de la República</w:t>
      </w:r>
      <w:r w:rsidRPr="00B02EF8">
        <w:rPr>
          <w:rFonts w:ascii="Arial" w:hAnsi="Arial" w:cs="Arial"/>
          <w:sz w:val="24"/>
        </w:rPr>
        <w:br/>
        <w:t>Coalición Decentes</w:t>
      </w:r>
    </w:p>
    <w:p w:rsidR="00720F64" w:rsidRDefault="00720F64" w:rsidP="00C13F3E">
      <w:pPr>
        <w:jc w:val="center"/>
        <w:rPr>
          <w:rFonts w:ascii="Arial" w:hAnsi="Arial" w:cs="Arial"/>
          <w:b/>
          <w:sz w:val="24"/>
          <w:szCs w:val="24"/>
        </w:rPr>
      </w:pPr>
    </w:p>
    <w:p w:rsidR="00720F64" w:rsidRDefault="00720F64" w:rsidP="00C13F3E">
      <w:pPr>
        <w:jc w:val="center"/>
        <w:rPr>
          <w:rFonts w:ascii="Arial" w:hAnsi="Arial" w:cs="Arial"/>
          <w:b/>
          <w:sz w:val="24"/>
          <w:szCs w:val="24"/>
        </w:rPr>
      </w:pPr>
    </w:p>
    <w:p w:rsidR="00720F64" w:rsidRDefault="00720F64" w:rsidP="00C13F3E">
      <w:pPr>
        <w:jc w:val="center"/>
        <w:rPr>
          <w:rFonts w:ascii="Arial" w:hAnsi="Arial" w:cs="Arial"/>
          <w:b/>
          <w:sz w:val="24"/>
          <w:szCs w:val="24"/>
        </w:rPr>
      </w:pPr>
    </w:p>
    <w:p w:rsidR="00720F64" w:rsidRDefault="00720F64" w:rsidP="00C13F3E">
      <w:pPr>
        <w:jc w:val="center"/>
        <w:rPr>
          <w:rFonts w:ascii="Arial" w:hAnsi="Arial" w:cs="Arial"/>
          <w:b/>
          <w:sz w:val="24"/>
          <w:szCs w:val="24"/>
        </w:rPr>
      </w:pPr>
    </w:p>
    <w:p w:rsidR="00C13F3E" w:rsidRPr="00A525C9" w:rsidRDefault="00C13F3E" w:rsidP="00C13F3E">
      <w:pPr>
        <w:jc w:val="center"/>
        <w:rPr>
          <w:rFonts w:ascii="Arial" w:hAnsi="Arial" w:cs="Arial"/>
          <w:sz w:val="24"/>
          <w:szCs w:val="24"/>
        </w:rPr>
      </w:pPr>
      <w:r w:rsidRPr="00A525C9">
        <w:rPr>
          <w:rFonts w:ascii="Arial" w:hAnsi="Arial" w:cs="Arial"/>
          <w:b/>
          <w:sz w:val="24"/>
          <w:szCs w:val="24"/>
        </w:rPr>
        <w:lastRenderedPageBreak/>
        <w:t>Proyecto de Ley ____de 2019</w:t>
      </w:r>
    </w:p>
    <w:p w:rsidR="00C13F3E" w:rsidRPr="0046782D" w:rsidRDefault="00C13F3E" w:rsidP="00C13F3E">
      <w:pPr>
        <w:jc w:val="center"/>
        <w:rPr>
          <w:rFonts w:ascii="Arial" w:hAnsi="Arial" w:cs="Arial"/>
          <w:b/>
          <w:sz w:val="24"/>
          <w:szCs w:val="24"/>
        </w:rPr>
      </w:pPr>
      <w:bookmarkStart w:id="1" w:name="_Hlk15307511"/>
      <w:r w:rsidRPr="0046782D">
        <w:rPr>
          <w:rFonts w:ascii="Arial" w:hAnsi="Arial" w:cs="Arial"/>
          <w:b/>
          <w:sz w:val="24"/>
          <w:szCs w:val="24"/>
        </w:rPr>
        <w:t>“Por medio de la cual se</w:t>
      </w:r>
      <w:r w:rsidR="0046782D" w:rsidRPr="0046782D">
        <w:rPr>
          <w:rFonts w:ascii="Arial" w:hAnsi="Arial" w:cs="Arial"/>
          <w:b/>
          <w:sz w:val="24"/>
          <w:szCs w:val="24"/>
        </w:rPr>
        <w:t xml:space="preserve"> promueve el acceso a información necesaria </w:t>
      </w:r>
      <w:r w:rsidR="0046782D">
        <w:rPr>
          <w:rFonts w:ascii="Arial" w:hAnsi="Arial" w:cs="Arial"/>
          <w:b/>
          <w:sz w:val="24"/>
          <w:szCs w:val="24"/>
        </w:rPr>
        <w:t xml:space="preserve">sobre el consumo de medicamentos de venta libre </w:t>
      </w:r>
      <w:r w:rsidR="0046782D" w:rsidRPr="0046782D">
        <w:rPr>
          <w:rFonts w:ascii="Arial" w:hAnsi="Arial" w:cs="Arial"/>
          <w:b/>
          <w:sz w:val="24"/>
          <w:szCs w:val="24"/>
        </w:rPr>
        <w:t>para</w:t>
      </w:r>
      <w:r w:rsidRPr="0046782D">
        <w:rPr>
          <w:rFonts w:ascii="Arial" w:hAnsi="Arial" w:cs="Arial"/>
          <w:b/>
          <w:sz w:val="24"/>
          <w:szCs w:val="24"/>
        </w:rPr>
        <w:t xml:space="preserve"> </w:t>
      </w:r>
      <w:r w:rsidR="0046782D" w:rsidRPr="0046782D">
        <w:rPr>
          <w:rFonts w:ascii="Arial" w:hAnsi="Arial" w:cs="Arial"/>
          <w:b/>
          <w:sz w:val="24"/>
          <w:szCs w:val="24"/>
        </w:rPr>
        <w:t xml:space="preserve">fomentar entornos saludables, prevenir </w:t>
      </w:r>
      <w:r w:rsidR="0046782D">
        <w:rPr>
          <w:rFonts w:ascii="Arial" w:hAnsi="Arial" w:cs="Arial"/>
          <w:b/>
          <w:sz w:val="24"/>
          <w:szCs w:val="24"/>
        </w:rPr>
        <w:t>la</w:t>
      </w:r>
      <w:r w:rsidRPr="0046782D">
        <w:rPr>
          <w:rFonts w:ascii="Arial" w:hAnsi="Arial" w:cs="Arial"/>
          <w:b/>
          <w:sz w:val="24"/>
          <w:szCs w:val="24"/>
        </w:rPr>
        <w:t xml:space="preserve"> </w:t>
      </w:r>
      <w:r w:rsidR="00720F64">
        <w:rPr>
          <w:rFonts w:ascii="Arial" w:hAnsi="Arial" w:cs="Arial"/>
          <w:b/>
          <w:sz w:val="24"/>
          <w:szCs w:val="24"/>
        </w:rPr>
        <w:t>Automedicación</w:t>
      </w:r>
      <w:r w:rsidRPr="0046782D">
        <w:rPr>
          <w:rFonts w:ascii="Arial" w:hAnsi="Arial" w:cs="Arial"/>
          <w:b/>
          <w:sz w:val="24"/>
          <w:szCs w:val="24"/>
        </w:rPr>
        <w:t xml:space="preserve"> y se </w:t>
      </w:r>
      <w:r w:rsidR="0046782D">
        <w:rPr>
          <w:rFonts w:ascii="Arial" w:hAnsi="Arial" w:cs="Arial"/>
          <w:b/>
          <w:sz w:val="24"/>
          <w:szCs w:val="24"/>
        </w:rPr>
        <w:t>adoptan</w:t>
      </w:r>
      <w:r w:rsidRPr="0046782D">
        <w:rPr>
          <w:rFonts w:ascii="Arial" w:hAnsi="Arial" w:cs="Arial"/>
          <w:b/>
          <w:sz w:val="24"/>
          <w:szCs w:val="24"/>
        </w:rPr>
        <w:t xml:space="preserve"> otras disposiciones”</w:t>
      </w:r>
      <w:bookmarkEnd w:id="1"/>
    </w:p>
    <w:p w:rsidR="00C13F3E" w:rsidRDefault="00C13F3E" w:rsidP="006A4DCE">
      <w:pPr>
        <w:jc w:val="center"/>
        <w:rPr>
          <w:rFonts w:ascii="Arial" w:hAnsi="Arial" w:cs="Arial"/>
          <w:b/>
          <w:sz w:val="24"/>
          <w:szCs w:val="24"/>
        </w:rPr>
      </w:pPr>
    </w:p>
    <w:p w:rsidR="006A4DCE" w:rsidRDefault="006A4DCE" w:rsidP="006A4DCE">
      <w:pPr>
        <w:jc w:val="center"/>
        <w:rPr>
          <w:rFonts w:ascii="Arial" w:hAnsi="Arial" w:cs="Arial"/>
          <w:b/>
          <w:sz w:val="24"/>
          <w:szCs w:val="24"/>
        </w:rPr>
      </w:pPr>
      <w:r w:rsidRPr="00A525C9">
        <w:rPr>
          <w:rFonts w:ascii="Arial" w:hAnsi="Arial" w:cs="Arial"/>
          <w:b/>
          <w:sz w:val="24"/>
          <w:szCs w:val="24"/>
        </w:rPr>
        <w:t>El Congreso de Colombia</w:t>
      </w:r>
      <w:r w:rsidRPr="00A525C9">
        <w:rPr>
          <w:rFonts w:ascii="Arial" w:hAnsi="Arial" w:cs="Arial"/>
          <w:b/>
          <w:sz w:val="24"/>
          <w:szCs w:val="24"/>
        </w:rPr>
        <w:br/>
      </w:r>
    </w:p>
    <w:p w:rsidR="006A4DCE" w:rsidRDefault="006A4DCE" w:rsidP="0046782D">
      <w:pPr>
        <w:spacing w:line="240" w:lineRule="auto"/>
        <w:jc w:val="center"/>
        <w:rPr>
          <w:rFonts w:ascii="Arial" w:hAnsi="Arial" w:cs="Arial"/>
          <w:b/>
          <w:sz w:val="24"/>
          <w:szCs w:val="24"/>
        </w:rPr>
      </w:pPr>
      <w:r w:rsidRPr="00A525C9">
        <w:rPr>
          <w:rFonts w:ascii="Arial" w:hAnsi="Arial" w:cs="Arial"/>
          <w:b/>
          <w:sz w:val="24"/>
          <w:szCs w:val="24"/>
        </w:rPr>
        <w:t>DECRETA:</w:t>
      </w:r>
    </w:p>
    <w:p w:rsidR="0046782D" w:rsidRDefault="0046782D" w:rsidP="0046782D">
      <w:pPr>
        <w:spacing w:line="240" w:lineRule="auto"/>
        <w:jc w:val="center"/>
        <w:rPr>
          <w:rFonts w:ascii="Arial" w:hAnsi="Arial" w:cs="Arial"/>
          <w:b/>
          <w:sz w:val="24"/>
          <w:szCs w:val="24"/>
        </w:rPr>
      </w:pPr>
    </w:p>
    <w:p w:rsidR="0046782D" w:rsidRDefault="0046782D" w:rsidP="0046782D">
      <w:pPr>
        <w:spacing w:line="240" w:lineRule="auto"/>
        <w:jc w:val="center"/>
        <w:rPr>
          <w:rFonts w:ascii="Arial" w:hAnsi="Arial" w:cs="Arial"/>
          <w:b/>
          <w:sz w:val="24"/>
          <w:szCs w:val="24"/>
        </w:rPr>
      </w:pPr>
      <w:r>
        <w:rPr>
          <w:rFonts w:ascii="Arial" w:hAnsi="Arial" w:cs="Arial"/>
          <w:b/>
          <w:sz w:val="24"/>
          <w:szCs w:val="24"/>
        </w:rPr>
        <w:t>Capítulo I.</w:t>
      </w:r>
    </w:p>
    <w:p w:rsidR="0046782D" w:rsidRDefault="0046782D" w:rsidP="0046782D">
      <w:pPr>
        <w:spacing w:line="240" w:lineRule="auto"/>
        <w:jc w:val="center"/>
        <w:rPr>
          <w:rFonts w:ascii="Arial" w:hAnsi="Arial" w:cs="Arial"/>
          <w:b/>
          <w:sz w:val="24"/>
          <w:szCs w:val="24"/>
        </w:rPr>
      </w:pPr>
      <w:r>
        <w:rPr>
          <w:rFonts w:ascii="Arial" w:hAnsi="Arial" w:cs="Arial"/>
          <w:b/>
          <w:sz w:val="24"/>
          <w:szCs w:val="24"/>
        </w:rPr>
        <w:t>Disposiciones Generales</w:t>
      </w:r>
    </w:p>
    <w:p w:rsidR="0046782D" w:rsidRDefault="0046782D" w:rsidP="0046782D">
      <w:pPr>
        <w:spacing w:line="240" w:lineRule="auto"/>
        <w:jc w:val="center"/>
        <w:rPr>
          <w:rFonts w:ascii="Arial" w:hAnsi="Arial" w:cs="Arial"/>
          <w:b/>
          <w:sz w:val="24"/>
          <w:szCs w:val="24"/>
        </w:rPr>
      </w:pPr>
    </w:p>
    <w:p w:rsidR="00B149B1" w:rsidRPr="00B76CD6" w:rsidRDefault="009430F0" w:rsidP="004E29D3">
      <w:pPr>
        <w:autoSpaceDE w:val="0"/>
        <w:autoSpaceDN w:val="0"/>
        <w:adjustRightInd w:val="0"/>
        <w:spacing w:after="0" w:line="360" w:lineRule="auto"/>
        <w:jc w:val="both"/>
        <w:rPr>
          <w:rFonts w:ascii="Arial" w:hAnsi="Arial" w:cs="Arial"/>
          <w:sz w:val="24"/>
          <w:szCs w:val="24"/>
        </w:rPr>
      </w:pPr>
      <w:r w:rsidRPr="001055EE">
        <w:rPr>
          <w:rFonts w:ascii="Arial" w:hAnsi="Arial" w:cs="Arial"/>
          <w:b/>
          <w:sz w:val="24"/>
          <w:szCs w:val="24"/>
        </w:rPr>
        <w:t>Artículo 1º.</w:t>
      </w:r>
      <w:r w:rsidRPr="009430F0">
        <w:rPr>
          <w:rFonts w:ascii="Arial" w:hAnsi="Arial" w:cs="Arial"/>
          <w:sz w:val="24"/>
          <w:szCs w:val="24"/>
        </w:rPr>
        <w:t xml:space="preserve"> </w:t>
      </w:r>
      <w:r w:rsidR="00B149B1">
        <w:rPr>
          <w:rFonts w:ascii="Arial" w:hAnsi="Arial" w:cs="Arial"/>
          <w:b/>
          <w:sz w:val="24"/>
          <w:szCs w:val="24"/>
        </w:rPr>
        <w:t xml:space="preserve">Objeto. </w:t>
      </w:r>
      <w:bookmarkStart w:id="2" w:name="_Hlk15307565"/>
      <w:r w:rsidR="00B149B1" w:rsidRPr="00B76CD6">
        <w:rPr>
          <w:rFonts w:ascii="Arial" w:hAnsi="Arial" w:cs="Arial"/>
          <w:sz w:val="24"/>
          <w:szCs w:val="24"/>
        </w:rPr>
        <w:t xml:space="preserve">La presente ley tiene como fin </w:t>
      </w:r>
      <w:r w:rsidR="00B76CD6" w:rsidRPr="00B76CD6">
        <w:rPr>
          <w:rFonts w:ascii="Arial" w:hAnsi="Arial" w:cs="Arial"/>
          <w:sz w:val="24"/>
          <w:szCs w:val="24"/>
        </w:rPr>
        <w:t xml:space="preserve">establecer medidas para garantizar el acceso a información clara, veraz, oportuna, visible, idónea y suficiente sobre los medicamentos de venta libre, en aras de promover entornos saludables que prevengan </w:t>
      </w:r>
      <w:r w:rsidR="00B149B1" w:rsidRPr="00B76CD6">
        <w:rPr>
          <w:rFonts w:ascii="Arial" w:hAnsi="Arial" w:cs="Arial"/>
          <w:sz w:val="24"/>
          <w:szCs w:val="24"/>
        </w:rPr>
        <w:t xml:space="preserve">la </w:t>
      </w:r>
      <w:r w:rsidR="00720F64">
        <w:rPr>
          <w:rFonts w:ascii="Arial" w:hAnsi="Arial" w:cs="Arial"/>
          <w:sz w:val="24"/>
          <w:szCs w:val="24"/>
        </w:rPr>
        <w:t>Automedicación</w:t>
      </w:r>
      <w:r w:rsidR="00B149B1" w:rsidRPr="00B76CD6">
        <w:rPr>
          <w:rFonts w:ascii="Arial" w:hAnsi="Arial" w:cs="Arial"/>
          <w:sz w:val="24"/>
          <w:szCs w:val="24"/>
        </w:rPr>
        <w:t xml:space="preserve"> como alternativa terapéutica para el </w:t>
      </w:r>
      <w:r w:rsidR="00E07D31" w:rsidRPr="00B76CD6">
        <w:rPr>
          <w:rFonts w:ascii="Arial" w:hAnsi="Arial" w:cs="Arial"/>
          <w:sz w:val="24"/>
          <w:szCs w:val="24"/>
        </w:rPr>
        <w:t>tratamiento</w:t>
      </w:r>
      <w:r w:rsidR="00B149B1" w:rsidRPr="00B76CD6">
        <w:rPr>
          <w:rFonts w:ascii="Arial" w:hAnsi="Arial" w:cs="Arial"/>
          <w:sz w:val="24"/>
          <w:szCs w:val="24"/>
        </w:rPr>
        <w:t xml:space="preserve"> de enfermedades.</w:t>
      </w:r>
    </w:p>
    <w:bookmarkEnd w:id="2"/>
    <w:p w:rsidR="00AC5B69" w:rsidRDefault="00B149B1" w:rsidP="004E29D3">
      <w:pPr>
        <w:pStyle w:val="NormalWeb"/>
        <w:spacing w:line="360" w:lineRule="auto"/>
        <w:jc w:val="both"/>
        <w:rPr>
          <w:rFonts w:ascii="Arial" w:hAnsi="Arial" w:cs="Arial"/>
        </w:rPr>
      </w:pPr>
      <w:r w:rsidRPr="00B149B1">
        <w:rPr>
          <w:rFonts w:ascii="Arial" w:hAnsi="Arial" w:cs="Arial"/>
          <w:b/>
        </w:rPr>
        <w:t xml:space="preserve">Artículo 2°. </w:t>
      </w:r>
      <w:r w:rsidR="00B6199E">
        <w:rPr>
          <w:rFonts w:ascii="Arial" w:hAnsi="Arial" w:cs="Arial"/>
          <w:b/>
        </w:rPr>
        <w:t>Ámbi</w:t>
      </w:r>
      <w:r w:rsidR="00AC5B69">
        <w:rPr>
          <w:rFonts w:ascii="Arial" w:hAnsi="Arial" w:cs="Arial"/>
          <w:b/>
        </w:rPr>
        <w:t>t</w:t>
      </w:r>
      <w:r w:rsidR="00B6199E">
        <w:rPr>
          <w:rFonts w:ascii="Arial" w:hAnsi="Arial" w:cs="Arial"/>
          <w:b/>
        </w:rPr>
        <w:t xml:space="preserve">o de </w:t>
      </w:r>
      <w:r w:rsidR="00AC5B69">
        <w:rPr>
          <w:rFonts w:ascii="Arial" w:hAnsi="Arial" w:cs="Arial"/>
          <w:b/>
        </w:rPr>
        <w:t>aplicación</w:t>
      </w:r>
      <w:r w:rsidRPr="00B149B1">
        <w:rPr>
          <w:rFonts w:ascii="Arial" w:hAnsi="Arial" w:cs="Arial"/>
          <w:b/>
        </w:rPr>
        <w:t>.</w:t>
      </w:r>
      <w:r w:rsidR="00AC5B69">
        <w:rPr>
          <w:rFonts w:ascii="Arial" w:hAnsi="Arial" w:cs="Arial"/>
        </w:rPr>
        <w:t xml:space="preserve"> </w:t>
      </w:r>
      <w:r w:rsidR="00AC5B69" w:rsidRPr="00AC5B69">
        <w:rPr>
          <w:rFonts w:ascii="Arial" w:hAnsi="Arial" w:cs="Arial"/>
        </w:rPr>
        <w:t>Se aplicará en todo el territorio nacional y cobijará a todos los actores que participen en las actividades contempladas en la presente ley.</w:t>
      </w:r>
    </w:p>
    <w:p w:rsidR="00AC5B69" w:rsidRDefault="00AC5B69" w:rsidP="004E29D3">
      <w:pPr>
        <w:pStyle w:val="NormalWeb"/>
        <w:spacing w:line="360" w:lineRule="auto"/>
        <w:jc w:val="both"/>
        <w:rPr>
          <w:rFonts w:ascii="Arial" w:hAnsi="Arial" w:cs="Arial"/>
          <w:b/>
        </w:rPr>
      </w:pPr>
      <w:r>
        <w:rPr>
          <w:rFonts w:ascii="Arial" w:hAnsi="Arial" w:cs="Arial"/>
          <w:b/>
        </w:rPr>
        <w:t>Artículo 3º. Definiciones.</w:t>
      </w:r>
      <w:r w:rsidR="00C35A5F">
        <w:rPr>
          <w:rFonts w:ascii="Arial" w:hAnsi="Arial" w:cs="Arial"/>
          <w:b/>
        </w:rPr>
        <w:t xml:space="preserve"> </w:t>
      </w:r>
    </w:p>
    <w:p w:rsidR="00B149B1" w:rsidRDefault="00AC5B69" w:rsidP="004E29D3">
      <w:pPr>
        <w:pStyle w:val="NormalWeb"/>
        <w:spacing w:line="360" w:lineRule="auto"/>
        <w:jc w:val="both"/>
        <w:rPr>
          <w:rFonts w:ascii="Arial" w:hAnsi="Arial" w:cs="Arial"/>
        </w:rPr>
      </w:pPr>
      <w:r>
        <w:rPr>
          <w:rFonts w:ascii="Arial" w:hAnsi="Arial" w:cs="Arial"/>
          <w:b/>
        </w:rPr>
        <w:t xml:space="preserve">Publicidad: </w:t>
      </w:r>
      <w:r w:rsidR="00B149B1" w:rsidRPr="00922927">
        <w:rPr>
          <w:rFonts w:ascii="Arial" w:hAnsi="Arial" w:cs="Arial"/>
        </w:rPr>
        <w:t xml:space="preserve">Se entenderá por publicidad </w:t>
      </w:r>
      <w:r w:rsidR="00542191">
        <w:rPr>
          <w:rFonts w:ascii="Arial" w:hAnsi="Arial" w:cs="Arial"/>
        </w:rPr>
        <w:t>una forma de comunicación pagada por individuos o compañías con el ánimo de proveer información o influenciar a las personas para pensar o actuar de una forma particular</w:t>
      </w:r>
      <w:r w:rsidR="00B149B1" w:rsidRPr="00922927">
        <w:rPr>
          <w:rFonts w:ascii="Arial" w:hAnsi="Arial" w:cs="Arial"/>
        </w:rPr>
        <w:t>.</w:t>
      </w:r>
    </w:p>
    <w:p w:rsidR="009C24A2" w:rsidRDefault="009C24A2" w:rsidP="004E29D3">
      <w:pPr>
        <w:pStyle w:val="NormalWeb"/>
        <w:spacing w:line="360" w:lineRule="auto"/>
        <w:jc w:val="both"/>
        <w:rPr>
          <w:rFonts w:ascii="Arial" w:hAnsi="Arial" w:cs="Arial"/>
        </w:rPr>
      </w:pPr>
      <w:r w:rsidRPr="009C24A2">
        <w:rPr>
          <w:rFonts w:ascii="Arial" w:hAnsi="Arial" w:cs="Arial"/>
          <w:b/>
        </w:rPr>
        <w:t xml:space="preserve">Rotulado o información de contenido: </w:t>
      </w:r>
      <w:r w:rsidRPr="009C24A2">
        <w:rPr>
          <w:rFonts w:ascii="Arial" w:hAnsi="Arial" w:cs="Arial"/>
        </w:rPr>
        <w:t>Toda descripción impresa en el rótulo o etiqueta de un producto destinado a informar al consumidor sobre su contenido.</w:t>
      </w:r>
    </w:p>
    <w:p w:rsidR="003F4431" w:rsidRPr="00E87FB1" w:rsidRDefault="003F4431" w:rsidP="00AC5B69">
      <w:pPr>
        <w:pStyle w:val="NormalWeb"/>
        <w:shd w:val="clear" w:color="auto" w:fill="FFFFFF"/>
        <w:spacing w:before="0" w:beforeAutospacing="0" w:after="150" w:afterAutospacing="0" w:line="360" w:lineRule="auto"/>
        <w:jc w:val="both"/>
        <w:rPr>
          <w:rFonts w:ascii="Arial" w:hAnsi="Arial" w:cs="Arial"/>
          <w:i/>
          <w:color w:val="000000" w:themeColor="text1"/>
          <w:sz w:val="32"/>
        </w:rPr>
      </w:pPr>
      <w:r>
        <w:rPr>
          <w:rFonts w:ascii="Arial" w:hAnsi="Arial" w:cs="Arial"/>
          <w:b/>
        </w:rPr>
        <w:t>Medicamento:</w:t>
      </w:r>
      <w:r w:rsidR="00E87FB1">
        <w:rPr>
          <w:rFonts w:ascii="Arial" w:hAnsi="Arial" w:cs="Arial"/>
        </w:rPr>
        <w:t xml:space="preserve"> </w:t>
      </w:r>
      <w:r w:rsidR="00E87FB1">
        <w:rPr>
          <w:rStyle w:val="nfasis"/>
          <w:rFonts w:ascii="Arial" w:hAnsi="Arial" w:cs="Arial"/>
          <w:i w:val="0"/>
          <w:color w:val="000000" w:themeColor="text1"/>
          <w:szCs w:val="21"/>
          <w:shd w:val="clear" w:color="auto" w:fill="FFFFFF"/>
        </w:rPr>
        <w:t>P</w:t>
      </w:r>
      <w:r w:rsidR="00E87FB1" w:rsidRPr="00E87FB1">
        <w:rPr>
          <w:rStyle w:val="nfasis"/>
          <w:rFonts w:ascii="Arial" w:hAnsi="Arial" w:cs="Arial"/>
          <w:i w:val="0"/>
          <w:color w:val="000000" w:themeColor="text1"/>
          <w:szCs w:val="21"/>
          <w:shd w:val="clear" w:color="auto" w:fill="FFFFFF"/>
        </w:rPr>
        <w:t>reparado farmacéutico obtenido a partir de principios activos, con o sin sustancias auxiliares, presentado bajo </w:t>
      </w:r>
      <w:r w:rsidR="00E87FB1" w:rsidRPr="00E87FB1">
        <w:rPr>
          <w:rStyle w:val="Textoennegrita"/>
          <w:rFonts w:ascii="Arial" w:hAnsi="Arial" w:cs="Arial"/>
          <w:b w:val="0"/>
          <w:i/>
          <w:iCs/>
          <w:color w:val="000000" w:themeColor="text1"/>
          <w:szCs w:val="21"/>
          <w:shd w:val="clear" w:color="auto" w:fill="FFFFFF"/>
        </w:rPr>
        <w:t>forma farmacéutica</w:t>
      </w:r>
      <w:r w:rsidR="00E87FB1" w:rsidRPr="00E87FB1">
        <w:rPr>
          <w:rStyle w:val="Textoennegrita"/>
          <w:rFonts w:ascii="Arial" w:hAnsi="Arial" w:cs="Arial"/>
          <w:i/>
          <w:iCs/>
          <w:color w:val="000000" w:themeColor="text1"/>
          <w:szCs w:val="21"/>
          <w:shd w:val="clear" w:color="auto" w:fill="FFFFFF"/>
        </w:rPr>
        <w:t> </w:t>
      </w:r>
      <w:r w:rsidR="00E87FB1" w:rsidRPr="00E87FB1">
        <w:rPr>
          <w:rStyle w:val="nfasis"/>
          <w:rFonts w:ascii="Arial" w:hAnsi="Arial" w:cs="Arial"/>
          <w:i w:val="0"/>
          <w:color w:val="000000" w:themeColor="text1"/>
          <w:szCs w:val="21"/>
          <w:shd w:val="clear" w:color="auto" w:fill="FFFFFF"/>
        </w:rPr>
        <w:t xml:space="preserve">que se utiliza para la prevención, alivio, diagnóstico, tratamiento, curación o rehabilitación de la enfermedad. Los envases, rótulos, etiquetas y empaques hacen parte integral del medicamento, por cuanto </w:t>
      </w:r>
      <w:r w:rsidR="00DF2A10">
        <w:rPr>
          <w:rStyle w:val="nfasis"/>
          <w:rFonts w:ascii="Arial" w:hAnsi="Arial" w:cs="Arial"/>
          <w:i w:val="0"/>
          <w:color w:val="000000" w:themeColor="text1"/>
          <w:szCs w:val="21"/>
          <w:shd w:val="clear" w:color="auto" w:fill="FFFFFF"/>
        </w:rPr>
        <w:t>e</w:t>
      </w:r>
      <w:r w:rsidR="00E87FB1" w:rsidRPr="00E87FB1">
        <w:rPr>
          <w:rStyle w:val="nfasis"/>
          <w:rFonts w:ascii="Arial" w:hAnsi="Arial" w:cs="Arial"/>
          <w:i w:val="0"/>
          <w:color w:val="000000" w:themeColor="text1"/>
          <w:szCs w:val="21"/>
          <w:shd w:val="clear" w:color="auto" w:fill="FFFFFF"/>
        </w:rPr>
        <w:t>stos garantizan su calidad, estabilidad y uso adecuado</w:t>
      </w:r>
      <w:r w:rsidR="00E87FB1" w:rsidRPr="00E87FB1">
        <w:rPr>
          <w:rFonts w:ascii="Arial" w:hAnsi="Arial" w:cs="Arial"/>
          <w:i/>
          <w:color w:val="000000" w:themeColor="text1"/>
          <w:szCs w:val="21"/>
          <w:shd w:val="clear" w:color="auto" w:fill="FFFFFF"/>
        </w:rPr>
        <w:t>.</w:t>
      </w:r>
    </w:p>
    <w:p w:rsidR="00AC5B69" w:rsidRDefault="00AC5B69" w:rsidP="00AC5B69">
      <w:pPr>
        <w:pStyle w:val="NormalWeb"/>
        <w:shd w:val="clear" w:color="auto" w:fill="FFFFFF"/>
        <w:spacing w:before="0" w:beforeAutospacing="0" w:after="150" w:afterAutospacing="0" w:line="360" w:lineRule="auto"/>
        <w:jc w:val="both"/>
        <w:rPr>
          <w:rFonts w:ascii="Helvetica" w:hAnsi="Helvetica"/>
          <w:color w:val="000000" w:themeColor="text1"/>
        </w:rPr>
      </w:pPr>
      <w:r>
        <w:rPr>
          <w:rFonts w:ascii="Arial" w:hAnsi="Arial" w:cs="Arial"/>
          <w:b/>
        </w:rPr>
        <w:t>Medicamento de Venta Libre</w:t>
      </w:r>
      <w:r w:rsidR="003F4431">
        <w:rPr>
          <w:rFonts w:ascii="Arial" w:hAnsi="Arial" w:cs="Arial"/>
          <w:b/>
        </w:rPr>
        <w:t xml:space="preserve"> u </w:t>
      </w:r>
      <w:proofErr w:type="spellStart"/>
      <w:r w:rsidR="003F4431">
        <w:rPr>
          <w:rFonts w:ascii="Arial" w:hAnsi="Arial" w:cs="Arial"/>
          <w:b/>
        </w:rPr>
        <w:t>Over</w:t>
      </w:r>
      <w:proofErr w:type="spellEnd"/>
      <w:r w:rsidR="003F4431">
        <w:rPr>
          <w:rFonts w:ascii="Arial" w:hAnsi="Arial" w:cs="Arial"/>
          <w:b/>
        </w:rPr>
        <w:t xml:space="preserve"> </w:t>
      </w:r>
      <w:proofErr w:type="spellStart"/>
      <w:r w:rsidR="003F4431">
        <w:rPr>
          <w:rFonts w:ascii="Arial" w:hAnsi="Arial" w:cs="Arial"/>
          <w:b/>
        </w:rPr>
        <w:t>The</w:t>
      </w:r>
      <w:proofErr w:type="spellEnd"/>
      <w:r w:rsidR="003F4431">
        <w:rPr>
          <w:rFonts w:ascii="Arial" w:hAnsi="Arial" w:cs="Arial"/>
          <w:b/>
        </w:rPr>
        <w:t xml:space="preserve"> </w:t>
      </w:r>
      <w:proofErr w:type="spellStart"/>
      <w:r w:rsidR="003F4431">
        <w:rPr>
          <w:rFonts w:ascii="Arial" w:hAnsi="Arial" w:cs="Arial"/>
          <w:b/>
        </w:rPr>
        <w:t>Counter</w:t>
      </w:r>
      <w:proofErr w:type="spellEnd"/>
      <w:r w:rsidR="003F4431">
        <w:rPr>
          <w:rFonts w:ascii="Arial" w:hAnsi="Arial" w:cs="Arial"/>
          <w:b/>
        </w:rPr>
        <w:t xml:space="preserve"> (OTC)</w:t>
      </w:r>
      <w:r>
        <w:rPr>
          <w:rFonts w:ascii="Arial" w:hAnsi="Arial" w:cs="Arial"/>
          <w:b/>
        </w:rPr>
        <w:t>:</w:t>
      </w:r>
      <w:r>
        <w:rPr>
          <w:rFonts w:ascii="Arial" w:hAnsi="Arial" w:cs="Arial"/>
        </w:rPr>
        <w:t xml:space="preserve"> </w:t>
      </w:r>
      <w:bookmarkStart w:id="3" w:name="_Hlk15307670"/>
      <w:r w:rsidR="00DF2A10">
        <w:rPr>
          <w:rFonts w:ascii="Arial" w:hAnsi="Arial" w:cs="Arial"/>
        </w:rPr>
        <w:t>Aquel</w:t>
      </w:r>
      <w:r w:rsidRPr="00AC5B69">
        <w:rPr>
          <w:rFonts w:ascii="Helvetica" w:hAnsi="Helvetica"/>
          <w:color w:val="000000" w:themeColor="text1"/>
        </w:rPr>
        <w:t xml:space="preserve"> que el consumidor puede adquirir sin necesidad de una prescripción médica y su uso está destinado a la prevención, tratamiento o alivio de síntomas, signos o enfermedades </w:t>
      </w:r>
      <w:r w:rsidR="00DF2A10">
        <w:rPr>
          <w:rFonts w:ascii="Helvetica" w:hAnsi="Helvetica"/>
          <w:color w:val="000000" w:themeColor="text1"/>
        </w:rPr>
        <w:t>“</w:t>
      </w:r>
      <w:r w:rsidRPr="00DF2A10">
        <w:rPr>
          <w:rFonts w:ascii="Helvetica" w:hAnsi="Helvetica"/>
          <w:color w:val="000000" w:themeColor="text1"/>
        </w:rPr>
        <w:t>leves</w:t>
      </w:r>
      <w:r w:rsidR="00DF2A10">
        <w:rPr>
          <w:rFonts w:ascii="Helvetica" w:hAnsi="Helvetica"/>
          <w:color w:val="000000" w:themeColor="text1"/>
        </w:rPr>
        <w:t>”</w:t>
      </w:r>
      <w:r w:rsidRPr="00AC5B69">
        <w:rPr>
          <w:rFonts w:ascii="Helvetica" w:hAnsi="Helvetica"/>
          <w:color w:val="000000" w:themeColor="text1"/>
        </w:rPr>
        <w:t> debidamente reconocidas por los usuarios</w:t>
      </w:r>
      <w:bookmarkEnd w:id="3"/>
      <w:r w:rsidR="0046782D">
        <w:rPr>
          <w:rFonts w:ascii="Helvetica" w:hAnsi="Helvetica"/>
          <w:color w:val="000000" w:themeColor="text1"/>
        </w:rPr>
        <w:t>.</w:t>
      </w:r>
    </w:p>
    <w:p w:rsidR="00E87FB1" w:rsidRPr="00E87FB1" w:rsidRDefault="00E87FB1" w:rsidP="00AC5B69">
      <w:pPr>
        <w:pStyle w:val="NormalWeb"/>
        <w:shd w:val="clear" w:color="auto" w:fill="FFFFFF"/>
        <w:spacing w:before="0" w:beforeAutospacing="0" w:after="150" w:afterAutospacing="0" w:line="360" w:lineRule="auto"/>
        <w:jc w:val="both"/>
        <w:rPr>
          <w:rFonts w:ascii="Arial" w:hAnsi="Arial" w:cs="Arial"/>
          <w:b/>
          <w:color w:val="000000" w:themeColor="text1"/>
        </w:rPr>
      </w:pPr>
      <w:r>
        <w:rPr>
          <w:rFonts w:ascii="Helvetica" w:hAnsi="Helvetica"/>
          <w:b/>
          <w:color w:val="000000" w:themeColor="text1"/>
        </w:rPr>
        <w:t xml:space="preserve">Medicamento Homeopático: </w:t>
      </w:r>
      <w:r w:rsidRPr="00E87FB1">
        <w:rPr>
          <w:rFonts w:ascii="Arial" w:hAnsi="Arial" w:cs="Arial"/>
        </w:rPr>
        <w:t>Es el preparado farmacéutico obtenido por técnicas homeopáticas, conforme a las reglas descritas en las farmacopeas oficiales aceptadas en el país, con el objeto de prevenir la enfermedad, aliviar, curar, tratar y/o rehabilitar un paciente. Los envases, rótulos, etiquetas y empaques hacen parte integral del medicamento, por cuanto estos garantizan su calidad, estabilidad y uso adecuado.</w:t>
      </w:r>
    </w:p>
    <w:p w:rsidR="00AC5B69" w:rsidRDefault="00720F64" w:rsidP="00AC5B69">
      <w:pPr>
        <w:pStyle w:val="NormalWeb"/>
        <w:shd w:val="clear" w:color="auto" w:fill="FFFFFF"/>
        <w:spacing w:before="0" w:beforeAutospacing="0" w:after="150" w:afterAutospacing="0" w:line="360" w:lineRule="auto"/>
        <w:jc w:val="both"/>
        <w:rPr>
          <w:rFonts w:ascii="Arial" w:hAnsi="Arial" w:cs="Arial"/>
        </w:rPr>
      </w:pPr>
      <w:r>
        <w:rPr>
          <w:rFonts w:ascii="Helvetica" w:hAnsi="Helvetica"/>
          <w:b/>
          <w:color w:val="000000" w:themeColor="text1"/>
        </w:rPr>
        <w:t>Automedicación</w:t>
      </w:r>
      <w:r w:rsidR="00AC5B69">
        <w:rPr>
          <w:rFonts w:ascii="Helvetica" w:hAnsi="Helvetica"/>
          <w:b/>
          <w:color w:val="000000" w:themeColor="text1"/>
        </w:rPr>
        <w:t>:</w:t>
      </w:r>
      <w:r w:rsidR="00AC5B69">
        <w:rPr>
          <w:rFonts w:ascii="Helvetica" w:hAnsi="Helvetica"/>
          <w:color w:val="000000" w:themeColor="text1"/>
        </w:rPr>
        <w:t xml:space="preserve"> </w:t>
      </w:r>
      <w:bookmarkStart w:id="4" w:name="_Hlk15307772"/>
      <w:r w:rsidR="0013237A">
        <w:rPr>
          <w:rFonts w:ascii="Helvetica" w:hAnsi="Helvetica"/>
          <w:color w:val="000000" w:themeColor="text1"/>
        </w:rPr>
        <w:t>Es</w:t>
      </w:r>
      <w:r w:rsidR="00AC5B69" w:rsidRPr="00A525C9">
        <w:rPr>
          <w:rFonts w:ascii="Arial" w:hAnsi="Arial" w:cs="Arial"/>
        </w:rPr>
        <w:t xml:space="preserve"> un comportamiento individual de consumo, consistente en la autoadministración o administración a individuos a cargo, de medicamentos (en el más amplio espectro incluyendo productos naturales) por fuera de la prescripción, o alterando la prescripción, con la función original de autocuidado de la salud u otras diferentes como el aumento del rendimiento físico o cognitivo (dopaje), el uso recreativo, el uso cosmético, terminación de la vida, entre otros, aprovechando siempre sus principios activos farmacológicos</w:t>
      </w:r>
      <w:r w:rsidR="00AC5B69">
        <w:rPr>
          <w:rFonts w:ascii="Arial" w:hAnsi="Arial" w:cs="Arial"/>
        </w:rPr>
        <w:t>.</w:t>
      </w:r>
      <w:bookmarkEnd w:id="4"/>
    </w:p>
    <w:p w:rsidR="00C35A5F" w:rsidRDefault="00127CA9" w:rsidP="00127CA9">
      <w:pPr>
        <w:pStyle w:val="NormalWeb"/>
        <w:shd w:val="clear" w:color="auto" w:fill="FFFFFF"/>
        <w:spacing w:after="150" w:line="360" w:lineRule="auto"/>
        <w:jc w:val="both"/>
        <w:rPr>
          <w:rFonts w:ascii="Arial" w:hAnsi="Arial" w:cs="Arial"/>
        </w:rPr>
      </w:pPr>
      <w:r>
        <w:rPr>
          <w:rFonts w:ascii="Arial" w:hAnsi="Arial" w:cs="Arial"/>
          <w:b/>
        </w:rPr>
        <w:t xml:space="preserve">Establecimientos </w:t>
      </w:r>
      <w:r w:rsidR="00C35A5F">
        <w:rPr>
          <w:rFonts w:ascii="Arial" w:hAnsi="Arial" w:cs="Arial"/>
          <w:b/>
        </w:rPr>
        <w:t>Farmac</w:t>
      </w:r>
      <w:r>
        <w:rPr>
          <w:rFonts w:ascii="Arial" w:hAnsi="Arial" w:cs="Arial"/>
          <w:b/>
        </w:rPr>
        <w:t>éuticos</w:t>
      </w:r>
      <w:r w:rsidR="00C35A5F">
        <w:rPr>
          <w:rFonts w:ascii="Arial" w:hAnsi="Arial" w:cs="Arial"/>
          <w:b/>
        </w:rPr>
        <w:t>:</w:t>
      </w:r>
      <w:r w:rsidR="009C24A2">
        <w:rPr>
          <w:rFonts w:ascii="Arial" w:hAnsi="Arial" w:cs="Arial"/>
          <w:b/>
        </w:rPr>
        <w:t xml:space="preserve"> </w:t>
      </w:r>
      <w:r w:rsidR="0013237A" w:rsidRPr="0013237A">
        <w:rPr>
          <w:rFonts w:ascii="Arial" w:hAnsi="Arial" w:cs="Arial"/>
        </w:rPr>
        <w:t>S</w:t>
      </w:r>
      <w:r w:rsidRPr="00127CA9">
        <w:rPr>
          <w:rFonts w:ascii="Arial" w:hAnsi="Arial" w:cs="Arial"/>
        </w:rPr>
        <w:t>e consideran establecimientos</w:t>
      </w:r>
      <w:r>
        <w:rPr>
          <w:rFonts w:ascii="Arial" w:hAnsi="Arial" w:cs="Arial"/>
        </w:rPr>
        <w:t xml:space="preserve"> </w:t>
      </w:r>
      <w:r w:rsidRPr="00127CA9">
        <w:rPr>
          <w:rFonts w:ascii="Arial" w:hAnsi="Arial" w:cs="Arial"/>
        </w:rPr>
        <w:t>farmacéuticos mayoristas</w:t>
      </w:r>
      <w:r w:rsidR="009C24A2">
        <w:rPr>
          <w:rFonts w:ascii="Arial" w:hAnsi="Arial" w:cs="Arial"/>
        </w:rPr>
        <w:t xml:space="preserve"> </w:t>
      </w:r>
      <w:r w:rsidRPr="00127CA9">
        <w:rPr>
          <w:rFonts w:ascii="Arial" w:hAnsi="Arial" w:cs="Arial"/>
        </w:rPr>
        <w:t>los Laboratorios Farmacéuticos, las Agencias de</w:t>
      </w:r>
      <w:r>
        <w:rPr>
          <w:rFonts w:ascii="Arial" w:hAnsi="Arial" w:cs="Arial"/>
        </w:rPr>
        <w:t xml:space="preserve"> </w:t>
      </w:r>
      <w:r w:rsidRPr="00127CA9">
        <w:rPr>
          <w:rFonts w:ascii="Arial" w:hAnsi="Arial" w:cs="Arial"/>
        </w:rPr>
        <w:t>Especialidades Farmacéuticas y Depósitos de Drogas, y establecimientos farmacéuticos</w:t>
      </w:r>
      <w:r>
        <w:rPr>
          <w:rFonts w:ascii="Arial" w:hAnsi="Arial" w:cs="Arial"/>
        </w:rPr>
        <w:t xml:space="preserve"> </w:t>
      </w:r>
      <w:r w:rsidRPr="00127CA9">
        <w:rPr>
          <w:rFonts w:ascii="Arial" w:hAnsi="Arial" w:cs="Arial"/>
        </w:rPr>
        <w:t>minoristas: Las Farmacias-Droguerías y las Droguerías.</w:t>
      </w:r>
    </w:p>
    <w:p w:rsidR="00E054FA" w:rsidRDefault="00E054FA" w:rsidP="00127CA9">
      <w:pPr>
        <w:pStyle w:val="NormalWeb"/>
        <w:shd w:val="clear" w:color="auto" w:fill="FFFFFF"/>
        <w:spacing w:after="150" w:line="360" w:lineRule="auto"/>
        <w:jc w:val="both"/>
        <w:rPr>
          <w:rFonts w:ascii="Arial" w:hAnsi="Arial" w:cs="Arial"/>
        </w:rPr>
      </w:pPr>
    </w:p>
    <w:p w:rsidR="0013237A" w:rsidRDefault="0013237A" w:rsidP="0013237A">
      <w:pPr>
        <w:spacing w:line="240" w:lineRule="auto"/>
        <w:jc w:val="center"/>
        <w:rPr>
          <w:rFonts w:ascii="Arial" w:hAnsi="Arial" w:cs="Arial"/>
          <w:b/>
          <w:sz w:val="24"/>
          <w:szCs w:val="24"/>
        </w:rPr>
      </w:pPr>
      <w:r>
        <w:rPr>
          <w:rFonts w:ascii="Arial" w:hAnsi="Arial" w:cs="Arial"/>
          <w:b/>
          <w:sz w:val="24"/>
          <w:szCs w:val="24"/>
        </w:rPr>
        <w:t>Capítulo II.</w:t>
      </w:r>
    </w:p>
    <w:p w:rsidR="0013237A" w:rsidRDefault="0013237A" w:rsidP="003F4431">
      <w:pPr>
        <w:pStyle w:val="NormalWeb"/>
        <w:spacing w:line="360" w:lineRule="auto"/>
        <w:jc w:val="center"/>
        <w:rPr>
          <w:rFonts w:ascii="Arial" w:hAnsi="Arial" w:cs="Arial"/>
          <w:b/>
        </w:rPr>
      </w:pPr>
      <w:r w:rsidRPr="0013237A">
        <w:rPr>
          <w:rFonts w:ascii="Arial" w:hAnsi="Arial" w:cs="Arial"/>
          <w:b/>
        </w:rPr>
        <w:t xml:space="preserve">De la regulación a </w:t>
      </w:r>
      <w:r>
        <w:rPr>
          <w:rFonts w:ascii="Arial" w:hAnsi="Arial" w:cs="Arial"/>
          <w:b/>
        </w:rPr>
        <w:t xml:space="preserve">la publicidad </w:t>
      </w:r>
      <w:r w:rsidR="003F4431">
        <w:rPr>
          <w:rFonts w:ascii="Arial" w:hAnsi="Arial" w:cs="Arial"/>
          <w:b/>
        </w:rPr>
        <w:t>de los medicamentos de venta libre</w:t>
      </w:r>
    </w:p>
    <w:p w:rsidR="003F4431" w:rsidRPr="003F4431" w:rsidRDefault="00C15F34" w:rsidP="00BA6B7B">
      <w:pPr>
        <w:spacing w:line="360" w:lineRule="auto"/>
        <w:jc w:val="both"/>
        <w:rPr>
          <w:rFonts w:ascii="Arial" w:hAnsi="Arial" w:cs="Arial"/>
          <w:sz w:val="24"/>
          <w:szCs w:val="24"/>
        </w:rPr>
      </w:pPr>
      <w:r w:rsidRPr="003F4431">
        <w:rPr>
          <w:rFonts w:ascii="Arial" w:hAnsi="Arial" w:cs="Arial"/>
          <w:b/>
          <w:sz w:val="24"/>
          <w:szCs w:val="24"/>
        </w:rPr>
        <w:t xml:space="preserve">Artículo </w:t>
      </w:r>
      <w:r w:rsidR="00AC5B69" w:rsidRPr="003F4431">
        <w:rPr>
          <w:rFonts w:ascii="Arial" w:hAnsi="Arial" w:cs="Arial"/>
          <w:b/>
          <w:sz w:val="24"/>
          <w:szCs w:val="24"/>
        </w:rPr>
        <w:t>4</w:t>
      </w:r>
      <w:r w:rsidRPr="003F4431">
        <w:rPr>
          <w:rFonts w:ascii="Arial" w:hAnsi="Arial" w:cs="Arial"/>
          <w:b/>
          <w:sz w:val="24"/>
          <w:szCs w:val="24"/>
        </w:rPr>
        <w:t xml:space="preserve">°. </w:t>
      </w:r>
      <w:r w:rsidR="003F4431" w:rsidRPr="003F4431">
        <w:rPr>
          <w:rFonts w:ascii="Arial" w:hAnsi="Arial" w:cs="Arial"/>
          <w:b/>
          <w:sz w:val="24"/>
          <w:szCs w:val="24"/>
        </w:rPr>
        <w:t>Etiquetado</w:t>
      </w:r>
      <w:r w:rsidRPr="003F4431">
        <w:rPr>
          <w:rFonts w:ascii="Arial" w:hAnsi="Arial" w:cs="Arial"/>
          <w:b/>
          <w:sz w:val="24"/>
          <w:szCs w:val="24"/>
        </w:rPr>
        <w:t xml:space="preserve">. </w:t>
      </w:r>
      <w:r w:rsidR="003F4431" w:rsidRPr="003F4431">
        <w:rPr>
          <w:rFonts w:ascii="Arial" w:hAnsi="Arial" w:cs="Arial"/>
          <w:sz w:val="24"/>
          <w:szCs w:val="24"/>
        </w:rPr>
        <w:t xml:space="preserve">Con el objetivo de informar de manera clara y suficiente, sobre los efectos </w:t>
      </w:r>
      <w:r w:rsidR="00DF2A10">
        <w:rPr>
          <w:rFonts w:ascii="Arial" w:hAnsi="Arial" w:cs="Arial"/>
          <w:sz w:val="24"/>
          <w:szCs w:val="24"/>
        </w:rPr>
        <w:t>derivados del consumo</w:t>
      </w:r>
      <w:r w:rsidR="003F4431" w:rsidRPr="003F4431">
        <w:rPr>
          <w:rFonts w:ascii="Arial" w:hAnsi="Arial" w:cs="Arial"/>
          <w:sz w:val="24"/>
          <w:szCs w:val="24"/>
        </w:rPr>
        <w:t xml:space="preserve"> </w:t>
      </w:r>
      <w:r w:rsidR="003F4431">
        <w:rPr>
          <w:rFonts w:ascii="Arial" w:hAnsi="Arial" w:cs="Arial"/>
          <w:sz w:val="24"/>
          <w:szCs w:val="24"/>
        </w:rPr>
        <w:t>de</w:t>
      </w:r>
      <w:r w:rsidR="003F4431" w:rsidRPr="003F4431">
        <w:rPr>
          <w:rFonts w:ascii="Arial" w:hAnsi="Arial" w:cs="Arial"/>
          <w:sz w:val="24"/>
          <w:szCs w:val="24"/>
        </w:rPr>
        <w:t xml:space="preserve"> medicamentos de venta libre, los productores deberán declarar en el etiquetado la siguiente información: </w:t>
      </w:r>
    </w:p>
    <w:p w:rsidR="00E87FB1" w:rsidRPr="00E87FB1" w:rsidRDefault="003F4431" w:rsidP="00BA6B7B">
      <w:pPr>
        <w:pStyle w:val="Prrafodelista"/>
        <w:numPr>
          <w:ilvl w:val="0"/>
          <w:numId w:val="3"/>
        </w:numPr>
        <w:spacing w:line="360" w:lineRule="auto"/>
        <w:ind w:left="567" w:right="615"/>
        <w:jc w:val="both"/>
        <w:rPr>
          <w:rFonts w:ascii="Arial" w:hAnsi="Arial" w:cs="Arial"/>
          <w:sz w:val="24"/>
          <w:szCs w:val="24"/>
        </w:rPr>
      </w:pPr>
      <w:r w:rsidRPr="00E87FB1">
        <w:rPr>
          <w:rFonts w:ascii="Arial" w:hAnsi="Arial" w:cs="Arial"/>
          <w:sz w:val="24"/>
          <w:szCs w:val="24"/>
        </w:rPr>
        <w:t>Dirección web donde el consumidor encontrará información sobre los posibles efectos secundarios resultados de los estudios clínicos para su aprobación por parte del INVIMA.</w:t>
      </w:r>
    </w:p>
    <w:p w:rsidR="00E87FB1" w:rsidRDefault="003F4431" w:rsidP="00BA6B7B">
      <w:pPr>
        <w:pStyle w:val="Prrafodelista"/>
        <w:numPr>
          <w:ilvl w:val="0"/>
          <w:numId w:val="3"/>
        </w:numPr>
        <w:spacing w:line="360" w:lineRule="auto"/>
        <w:ind w:left="567" w:right="615"/>
        <w:jc w:val="both"/>
        <w:rPr>
          <w:rFonts w:ascii="Arial" w:hAnsi="Arial" w:cs="Arial"/>
          <w:sz w:val="24"/>
          <w:szCs w:val="24"/>
        </w:rPr>
      </w:pPr>
      <w:r w:rsidRPr="00E87FB1">
        <w:rPr>
          <w:rFonts w:ascii="Arial" w:hAnsi="Arial" w:cs="Arial"/>
          <w:sz w:val="24"/>
          <w:szCs w:val="24"/>
        </w:rPr>
        <w:t xml:space="preserve">Lista de </w:t>
      </w:r>
      <w:r w:rsidR="00E87FB1" w:rsidRPr="00E87FB1">
        <w:rPr>
          <w:rFonts w:ascii="Arial" w:hAnsi="Arial" w:cs="Arial"/>
          <w:sz w:val="24"/>
          <w:szCs w:val="24"/>
        </w:rPr>
        <w:t>componentes</w:t>
      </w:r>
      <w:r w:rsidRPr="00E87FB1">
        <w:rPr>
          <w:rFonts w:ascii="Arial" w:hAnsi="Arial" w:cs="Arial"/>
          <w:sz w:val="24"/>
          <w:szCs w:val="24"/>
        </w:rPr>
        <w:t xml:space="preserve"> </w:t>
      </w:r>
      <w:r w:rsidR="00E87FB1" w:rsidRPr="00E87FB1">
        <w:rPr>
          <w:rFonts w:ascii="Arial" w:hAnsi="Arial" w:cs="Arial"/>
          <w:sz w:val="24"/>
          <w:szCs w:val="24"/>
        </w:rPr>
        <w:t>incluyendo</w:t>
      </w:r>
      <w:r w:rsidRPr="00E87FB1">
        <w:rPr>
          <w:rFonts w:ascii="Arial" w:hAnsi="Arial" w:cs="Arial"/>
          <w:sz w:val="24"/>
          <w:szCs w:val="24"/>
        </w:rPr>
        <w:t xml:space="preserve"> todos </w:t>
      </w:r>
      <w:r w:rsidR="00E87FB1" w:rsidRPr="00E87FB1">
        <w:rPr>
          <w:rStyle w:val="nfasis"/>
          <w:rFonts w:ascii="Arial" w:hAnsi="Arial" w:cs="Arial"/>
          <w:i w:val="0"/>
          <w:color w:val="000000" w:themeColor="text1"/>
          <w:sz w:val="24"/>
          <w:szCs w:val="21"/>
          <w:shd w:val="clear" w:color="auto" w:fill="FFFFFF"/>
        </w:rPr>
        <w:t>principios activos, con o sin sustancias auxiliares,</w:t>
      </w:r>
      <w:r w:rsidRPr="00E87FB1">
        <w:rPr>
          <w:rFonts w:ascii="Arial" w:hAnsi="Arial" w:cs="Arial"/>
          <w:sz w:val="24"/>
          <w:szCs w:val="24"/>
        </w:rPr>
        <w:t xml:space="preserve"> que cumplan o no función tecnológica en el </w:t>
      </w:r>
      <w:r w:rsidR="00E87FB1">
        <w:rPr>
          <w:rFonts w:ascii="Arial" w:hAnsi="Arial" w:cs="Arial"/>
          <w:sz w:val="24"/>
          <w:szCs w:val="24"/>
        </w:rPr>
        <w:t>medicamento</w:t>
      </w:r>
      <w:r w:rsidRPr="00E87FB1">
        <w:rPr>
          <w:rFonts w:ascii="Arial" w:hAnsi="Arial" w:cs="Arial"/>
          <w:sz w:val="24"/>
          <w:szCs w:val="24"/>
        </w:rPr>
        <w:t>, tal como está definida en la normatividad nacional.</w:t>
      </w:r>
    </w:p>
    <w:p w:rsidR="00E87FB1" w:rsidRDefault="00E87FB1" w:rsidP="00BA6B7B">
      <w:pPr>
        <w:pStyle w:val="Prrafodelista"/>
        <w:numPr>
          <w:ilvl w:val="0"/>
          <w:numId w:val="3"/>
        </w:numPr>
        <w:spacing w:line="360" w:lineRule="auto"/>
        <w:ind w:left="567" w:right="615"/>
        <w:jc w:val="both"/>
        <w:rPr>
          <w:rFonts w:ascii="Arial" w:hAnsi="Arial" w:cs="Arial"/>
          <w:sz w:val="24"/>
          <w:szCs w:val="24"/>
        </w:rPr>
      </w:pPr>
      <w:r w:rsidRPr="00E87FB1">
        <w:rPr>
          <w:rFonts w:ascii="Arial" w:hAnsi="Arial" w:cs="Arial"/>
          <w:sz w:val="24"/>
          <w:szCs w:val="24"/>
        </w:rPr>
        <w:t>Para el caso de medicamentos homeopáticos d</w:t>
      </w:r>
      <w:r w:rsidR="003F4431" w:rsidRPr="00E87FB1">
        <w:rPr>
          <w:rFonts w:ascii="Arial" w:hAnsi="Arial" w:cs="Arial"/>
          <w:sz w:val="24"/>
          <w:szCs w:val="24"/>
        </w:rPr>
        <w:t>eberá declararse si sus ingredientes contienen organismos genéticamente modificados y especificar cuáles son estos ingredientes.</w:t>
      </w:r>
    </w:p>
    <w:p w:rsidR="003F4431" w:rsidRPr="00E87FB1" w:rsidRDefault="00E87FB1" w:rsidP="00BA6B7B">
      <w:pPr>
        <w:pStyle w:val="Prrafodelista"/>
        <w:numPr>
          <w:ilvl w:val="0"/>
          <w:numId w:val="3"/>
        </w:numPr>
        <w:spacing w:line="360" w:lineRule="auto"/>
        <w:ind w:left="567" w:right="615"/>
        <w:jc w:val="both"/>
        <w:rPr>
          <w:rFonts w:ascii="Arial" w:hAnsi="Arial" w:cs="Arial"/>
          <w:sz w:val="24"/>
          <w:szCs w:val="24"/>
        </w:rPr>
      </w:pPr>
      <w:r>
        <w:rPr>
          <w:rFonts w:ascii="Arial" w:hAnsi="Arial" w:cs="Arial"/>
          <w:sz w:val="24"/>
          <w:szCs w:val="24"/>
        </w:rPr>
        <w:t>L</w:t>
      </w:r>
      <w:r w:rsidR="003F4431" w:rsidRPr="00E87FB1">
        <w:rPr>
          <w:rFonts w:ascii="Arial" w:hAnsi="Arial" w:cs="Arial"/>
          <w:sz w:val="24"/>
          <w:szCs w:val="24"/>
        </w:rPr>
        <w:t xml:space="preserve">a información en el rótulo deberá estar en </w:t>
      </w:r>
      <w:r>
        <w:rPr>
          <w:rFonts w:ascii="Arial" w:hAnsi="Arial" w:cs="Arial"/>
          <w:sz w:val="24"/>
          <w:szCs w:val="24"/>
        </w:rPr>
        <w:t>español</w:t>
      </w:r>
      <w:r w:rsidR="003F4431" w:rsidRPr="00E87FB1">
        <w:rPr>
          <w:rFonts w:ascii="Arial" w:hAnsi="Arial" w:cs="Arial"/>
          <w:sz w:val="24"/>
          <w:szCs w:val="24"/>
        </w:rPr>
        <w:t>, y eventualmente podrá repetirse en otro idioma. Los datos deberán señalarse con caracteres visibles, indelebles y fáciles de leer. No se permitirá sobreimpresión o cualquier modificación de la información contenida en el rótulo original.</w:t>
      </w:r>
    </w:p>
    <w:p w:rsidR="005B3781" w:rsidRDefault="005B3781" w:rsidP="00BA6B7B">
      <w:pPr>
        <w:spacing w:line="360" w:lineRule="auto"/>
        <w:ind w:right="48"/>
        <w:jc w:val="both"/>
        <w:rPr>
          <w:rFonts w:ascii="Arial" w:hAnsi="Arial" w:cs="Arial"/>
          <w:sz w:val="24"/>
          <w:szCs w:val="23"/>
        </w:rPr>
      </w:pPr>
      <w:r w:rsidRPr="005B3781">
        <w:rPr>
          <w:rFonts w:ascii="Arial" w:hAnsi="Arial" w:cs="Arial"/>
          <w:b/>
          <w:sz w:val="24"/>
          <w:szCs w:val="23"/>
        </w:rPr>
        <w:t>Parágrafo 1.</w:t>
      </w:r>
      <w:r w:rsidRPr="005B3781">
        <w:rPr>
          <w:rFonts w:ascii="Arial" w:hAnsi="Arial" w:cs="Arial"/>
          <w:sz w:val="24"/>
          <w:szCs w:val="23"/>
        </w:rPr>
        <w:t xml:space="preserve"> Sin excepción alguna, todo </w:t>
      </w:r>
      <w:r>
        <w:rPr>
          <w:rFonts w:ascii="Arial" w:hAnsi="Arial" w:cs="Arial"/>
          <w:sz w:val="24"/>
          <w:szCs w:val="23"/>
        </w:rPr>
        <w:t>medicamento</w:t>
      </w:r>
      <w:r w:rsidRPr="005B3781">
        <w:rPr>
          <w:rFonts w:ascii="Arial" w:hAnsi="Arial" w:cs="Arial"/>
          <w:sz w:val="24"/>
          <w:szCs w:val="23"/>
        </w:rPr>
        <w:t xml:space="preserve"> deberá llevar la información de etiquetado dispuest</w:t>
      </w:r>
      <w:r>
        <w:rPr>
          <w:rFonts w:ascii="Arial" w:hAnsi="Arial" w:cs="Arial"/>
          <w:sz w:val="24"/>
          <w:szCs w:val="23"/>
        </w:rPr>
        <w:t>o</w:t>
      </w:r>
      <w:r w:rsidRPr="005B3781">
        <w:rPr>
          <w:rFonts w:ascii="Arial" w:hAnsi="Arial" w:cs="Arial"/>
          <w:sz w:val="24"/>
          <w:szCs w:val="23"/>
        </w:rPr>
        <w:t xml:space="preserve"> en este artículo.</w:t>
      </w:r>
      <w:r>
        <w:rPr>
          <w:rFonts w:ascii="Arial" w:hAnsi="Arial" w:cs="Arial"/>
          <w:sz w:val="24"/>
          <w:szCs w:val="23"/>
        </w:rPr>
        <w:t xml:space="preserve"> </w:t>
      </w:r>
      <w:r w:rsidRPr="005B3781">
        <w:rPr>
          <w:rFonts w:ascii="Arial" w:hAnsi="Arial" w:cs="Arial"/>
          <w:sz w:val="24"/>
          <w:szCs w:val="23"/>
        </w:rPr>
        <w:t xml:space="preserve">Adicionalmente, todos los </w:t>
      </w:r>
      <w:r>
        <w:rPr>
          <w:rFonts w:ascii="Arial" w:hAnsi="Arial" w:cs="Arial"/>
          <w:sz w:val="24"/>
          <w:szCs w:val="23"/>
        </w:rPr>
        <w:t xml:space="preserve">medicamentos de venta libre </w:t>
      </w:r>
      <w:r w:rsidRPr="005B3781">
        <w:rPr>
          <w:rFonts w:ascii="Arial" w:hAnsi="Arial" w:cs="Arial"/>
          <w:sz w:val="24"/>
          <w:szCs w:val="23"/>
        </w:rPr>
        <w:t>deberán incluir un rótulo adicional que contenga la frase: “</w:t>
      </w:r>
      <w:r w:rsidR="00E77B9E">
        <w:rPr>
          <w:rFonts w:ascii="Arial" w:hAnsi="Arial" w:cs="Arial"/>
          <w:sz w:val="24"/>
          <w:szCs w:val="23"/>
        </w:rPr>
        <w:t>Es un medicamento, no exceda su consumo y e</w:t>
      </w:r>
      <w:r w:rsidR="00E77B9E" w:rsidRPr="005B3781">
        <w:rPr>
          <w:rFonts w:ascii="Arial" w:hAnsi="Arial" w:cs="Arial"/>
          <w:sz w:val="24"/>
          <w:szCs w:val="23"/>
        </w:rPr>
        <w:t xml:space="preserve">vite </w:t>
      </w:r>
      <w:r w:rsidR="00E77B9E">
        <w:rPr>
          <w:rFonts w:ascii="Arial" w:hAnsi="Arial" w:cs="Arial"/>
          <w:sz w:val="24"/>
          <w:szCs w:val="23"/>
        </w:rPr>
        <w:t>automedicarse</w:t>
      </w:r>
      <w:r w:rsidRPr="005B3781">
        <w:rPr>
          <w:rFonts w:ascii="Arial" w:hAnsi="Arial" w:cs="Arial"/>
          <w:sz w:val="24"/>
          <w:szCs w:val="23"/>
        </w:rPr>
        <w:t>”.</w:t>
      </w:r>
    </w:p>
    <w:p w:rsidR="00BA6B7B" w:rsidRDefault="00BA6B7B">
      <w:pPr>
        <w:rPr>
          <w:rFonts w:ascii="Arial" w:hAnsi="Arial" w:cs="Arial"/>
          <w:sz w:val="28"/>
          <w:szCs w:val="23"/>
        </w:rPr>
      </w:pPr>
      <w:r>
        <w:rPr>
          <w:rFonts w:ascii="Arial" w:hAnsi="Arial" w:cs="Arial"/>
          <w:sz w:val="28"/>
          <w:szCs w:val="23"/>
        </w:rPr>
        <w:br w:type="page"/>
      </w:r>
    </w:p>
    <w:p w:rsidR="00E054FA" w:rsidRDefault="00E054FA" w:rsidP="00E054FA">
      <w:pPr>
        <w:spacing w:line="240" w:lineRule="auto"/>
        <w:jc w:val="center"/>
        <w:rPr>
          <w:rFonts w:ascii="Arial" w:hAnsi="Arial" w:cs="Arial"/>
          <w:b/>
          <w:sz w:val="24"/>
          <w:szCs w:val="24"/>
        </w:rPr>
      </w:pPr>
      <w:r>
        <w:rPr>
          <w:rFonts w:ascii="Arial" w:hAnsi="Arial" w:cs="Arial"/>
          <w:b/>
          <w:sz w:val="24"/>
          <w:szCs w:val="24"/>
        </w:rPr>
        <w:t>Capítulo III.</w:t>
      </w:r>
    </w:p>
    <w:p w:rsidR="00922927" w:rsidRPr="00C15F34" w:rsidRDefault="00E054FA" w:rsidP="00E054FA">
      <w:pPr>
        <w:pStyle w:val="NormalWeb"/>
        <w:spacing w:line="360" w:lineRule="auto"/>
        <w:jc w:val="center"/>
        <w:rPr>
          <w:rFonts w:ascii="Arial" w:hAnsi="Arial" w:cs="Arial"/>
        </w:rPr>
      </w:pPr>
      <w:r w:rsidRPr="0013237A">
        <w:rPr>
          <w:rFonts w:ascii="Arial" w:hAnsi="Arial" w:cs="Arial"/>
          <w:b/>
        </w:rPr>
        <w:t xml:space="preserve">De </w:t>
      </w:r>
      <w:r w:rsidR="00BA6B7B">
        <w:rPr>
          <w:rFonts w:ascii="Arial" w:hAnsi="Arial" w:cs="Arial"/>
          <w:b/>
        </w:rPr>
        <w:t xml:space="preserve">las acciones comunicativas para prevenir la </w:t>
      </w:r>
      <w:r w:rsidR="00720F64">
        <w:rPr>
          <w:rFonts w:ascii="Arial" w:hAnsi="Arial" w:cs="Arial"/>
          <w:b/>
        </w:rPr>
        <w:t>Automedicación</w:t>
      </w:r>
    </w:p>
    <w:p w:rsidR="00BA6B7B" w:rsidRDefault="009430F0" w:rsidP="0051753D">
      <w:pPr>
        <w:spacing w:line="360" w:lineRule="auto"/>
        <w:jc w:val="both"/>
        <w:rPr>
          <w:rFonts w:ascii="Arial" w:hAnsi="Arial" w:cs="Arial"/>
          <w:sz w:val="24"/>
          <w:szCs w:val="23"/>
        </w:rPr>
      </w:pPr>
      <w:r w:rsidRPr="001055EE">
        <w:rPr>
          <w:rFonts w:ascii="Arial" w:hAnsi="Arial" w:cs="Arial"/>
          <w:b/>
          <w:sz w:val="24"/>
          <w:szCs w:val="24"/>
        </w:rPr>
        <w:t xml:space="preserve">Artículo </w:t>
      </w:r>
      <w:r w:rsidR="003F4431">
        <w:rPr>
          <w:rFonts w:ascii="Arial" w:hAnsi="Arial" w:cs="Arial"/>
          <w:b/>
          <w:sz w:val="24"/>
          <w:szCs w:val="24"/>
        </w:rPr>
        <w:t>5</w:t>
      </w:r>
      <w:r w:rsidRPr="001055EE">
        <w:rPr>
          <w:rFonts w:ascii="Arial" w:hAnsi="Arial" w:cs="Arial"/>
          <w:b/>
          <w:sz w:val="24"/>
          <w:szCs w:val="24"/>
        </w:rPr>
        <w:t>º.</w:t>
      </w:r>
      <w:r w:rsidR="007D089B">
        <w:rPr>
          <w:rFonts w:ascii="Arial" w:hAnsi="Arial" w:cs="Arial"/>
          <w:sz w:val="24"/>
          <w:szCs w:val="24"/>
        </w:rPr>
        <w:t xml:space="preserve"> </w:t>
      </w:r>
      <w:r w:rsidR="00BA6B7B" w:rsidRPr="00BA6B7B">
        <w:rPr>
          <w:rFonts w:ascii="Arial" w:hAnsi="Arial" w:cs="Arial"/>
          <w:sz w:val="24"/>
          <w:szCs w:val="23"/>
        </w:rPr>
        <w:t>El Ministerio de las Tecnologías de la Información y las Comunicaciones, en coordinación con el Ministerio de Salud y Protección Social</w:t>
      </w:r>
      <w:r w:rsidR="00BA6B7B">
        <w:rPr>
          <w:rFonts w:ascii="Arial" w:hAnsi="Arial" w:cs="Arial"/>
          <w:sz w:val="24"/>
          <w:szCs w:val="23"/>
        </w:rPr>
        <w:t>, el INVIMA y el Instituto Nacional de Salud,</w:t>
      </w:r>
      <w:r w:rsidR="00BA6B7B" w:rsidRPr="00BA6B7B">
        <w:rPr>
          <w:rFonts w:ascii="Arial" w:hAnsi="Arial" w:cs="Arial"/>
          <w:sz w:val="24"/>
          <w:szCs w:val="23"/>
        </w:rPr>
        <w:t xml:space="preserve"> diseñarán herramientas pedagógicas orientadas a prevenir </w:t>
      </w:r>
      <w:r w:rsidR="00BA6B7B">
        <w:rPr>
          <w:rFonts w:ascii="Arial" w:hAnsi="Arial" w:cs="Arial"/>
          <w:sz w:val="24"/>
          <w:szCs w:val="23"/>
        </w:rPr>
        <w:t xml:space="preserve">la </w:t>
      </w:r>
      <w:r w:rsidR="00720F64">
        <w:rPr>
          <w:rFonts w:ascii="Arial" w:hAnsi="Arial" w:cs="Arial"/>
          <w:sz w:val="24"/>
          <w:szCs w:val="23"/>
        </w:rPr>
        <w:t>Automedicación</w:t>
      </w:r>
      <w:r w:rsidR="00BA6B7B" w:rsidRPr="00BA6B7B">
        <w:rPr>
          <w:rFonts w:ascii="Arial" w:hAnsi="Arial" w:cs="Arial"/>
          <w:sz w:val="24"/>
          <w:szCs w:val="23"/>
        </w:rPr>
        <w:t>, tales como cartillas, páginas web, aplicaciones para dispositivos móviles y demás herramientas</w:t>
      </w:r>
      <w:r w:rsidR="00DF2A10">
        <w:rPr>
          <w:rFonts w:ascii="Arial" w:hAnsi="Arial" w:cs="Arial"/>
          <w:sz w:val="24"/>
          <w:szCs w:val="23"/>
        </w:rPr>
        <w:t xml:space="preserve"> que sean útiles para este fin</w:t>
      </w:r>
      <w:r w:rsidR="00BA6B7B" w:rsidRPr="00BA6B7B">
        <w:rPr>
          <w:rFonts w:ascii="Arial" w:hAnsi="Arial" w:cs="Arial"/>
          <w:sz w:val="24"/>
          <w:szCs w:val="23"/>
        </w:rPr>
        <w:t>.</w:t>
      </w:r>
    </w:p>
    <w:p w:rsidR="00BA6B7B" w:rsidRPr="00BA6B7B" w:rsidRDefault="00BA6B7B" w:rsidP="0051753D">
      <w:pPr>
        <w:spacing w:line="360" w:lineRule="auto"/>
        <w:jc w:val="both"/>
        <w:rPr>
          <w:rFonts w:ascii="Arial" w:hAnsi="Arial" w:cs="Arial"/>
          <w:sz w:val="24"/>
          <w:szCs w:val="23"/>
        </w:rPr>
      </w:pPr>
      <w:r w:rsidRPr="00BA6B7B">
        <w:rPr>
          <w:rFonts w:ascii="Arial" w:hAnsi="Arial" w:cs="Arial"/>
          <w:sz w:val="24"/>
          <w:szCs w:val="23"/>
        </w:rPr>
        <w:t xml:space="preserve">En el diseño de las herramientas pedagógicas y realización de campañas de prevención de que trata este artículo se deberá dar aplicación a lo dispuesto en los artículos 11 y 12 de la Ley 1437 de 2011 y demás normas concordantes en aras de evitar conflictos de interés que puedan afectar el objetivo de </w:t>
      </w:r>
      <w:r>
        <w:rPr>
          <w:rFonts w:ascii="Arial" w:hAnsi="Arial" w:cs="Arial"/>
          <w:sz w:val="24"/>
          <w:szCs w:val="23"/>
        </w:rPr>
        <w:t xml:space="preserve">prevenir la </w:t>
      </w:r>
      <w:r w:rsidR="00720F64">
        <w:rPr>
          <w:rFonts w:ascii="Arial" w:hAnsi="Arial" w:cs="Arial"/>
          <w:sz w:val="24"/>
          <w:szCs w:val="23"/>
        </w:rPr>
        <w:t>Automedicación</w:t>
      </w:r>
      <w:r w:rsidRPr="00BA6B7B">
        <w:rPr>
          <w:rFonts w:ascii="Arial" w:hAnsi="Arial" w:cs="Arial"/>
          <w:sz w:val="24"/>
          <w:szCs w:val="23"/>
        </w:rPr>
        <w:t xml:space="preserve">. </w:t>
      </w:r>
    </w:p>
    <w:p w:rsidR="00BA6B7B" w:rsidRPr="00BA6B7B" w:rsidRDefault="00BA6B7B" w:rsidP="0051753D">
      <w:pPr>
        <w:spacing w:line="360" w:lineRule="auto"/>
        <w:jc w:val="both"/>
        <w:rPr>
          <w:rFonts w:ascii="Arial" w:hAnsi="Arial" w:cs="Arial"/>
          <w:sz w:val="24"/>
          <w:szCs w:val="23"/>
        </w:rPr>
      </w:pPr>
      <w:r w:rsidRPr="00BA6B7B">
        <w:rPr>
          <w:rFonts w:ascii="Arial" w:hAnsi="Arial" w:cs="Arial"/>
          <w:sz w:val="24"/>
          <w:szCs w:val="23"/>
        </w:rPr>
        <w:t xml:space="preserve">Todas las </w:t>
      </w:r>
      <w:r>
        <w:rPr>
          <w:rFonts w:ascii="Arial" w:hAnsi="Arial" w:cs="Arial"/>
          <w:sz w:val="24"/>
          <w:szCs w:val="23"/>
        </w:rPr>
        <w:t>E</w:t>
      </w:r>
      <w:r w:rsidR="00DF2A10">
        <w:rPr>
          <w:rFonts w:ascii="Arial" w:hAnsi="Arial" w:cs="Arial"/>
          <w:sz w:val="24"/>
          <w:szCs w:val="23"/>
        </w:rPr>
        <w:t xml:space="preserve">ntidades </w:t>
      </w:r>
      <w:r>
        <w:rPr>
          <w:rFonts w:ascii="Arial" w:hAnsi="Arial" w:cs="Arial"/>
          <w:sz w:val="24"/>
          <w:szCs w:val="23"/>
        </w:rPr>
        <w:t>P</w:t>
      </w:r>
      <w:r w:rsidR="00DF2A10">
        <w:rPr>
          <w:rFonts w:ascii="Arial" w:hAnsi="Arial" w:cs="Arial"/>
          <w:sz w:val="24"/>
          <w:szCs w:val="23"/>
        </w:rPr>
        <w:t xml:space="preserve">romotoras de </w:t>
      </w:r>
      <w:r>
        <w:rPr>
          <w:rFonts w:ascii="Arial" w:hAnsi="Arial" w:cs="Arial"/>
          <w:sz w:val="24"/>
          <w:szCs w:val="23"/>
        </w:rPr>
        <w:t>S</w:t>
      </w:r>
      <w:r w:rsidR="00DF2A10">
        <w:rPr>
          <w:rFonts w:ascii="Arial" w:hAnsi="Arial" w:cs="Arial"/>
          <w:sz w:val="24"/>
          <w:szCs w:val="23"/>
        </w:rPr>
        <w:t>alud (EPS)</w:t>
      </w:r>
      <w:r w:rsidRPr="00BA6B7B">
        <w:rPr>
          <w:rFonts w:ascii="Arial" w:hAnsi="Arial" w:cs="Arial"/>
          <w:sz w:val="24"/>
          <w:szCs w:val="23"/>
        </w:rPr>
        <w:t xml:space="preserve"> deberán hacer uso de las herramientas pedagógicas de que trata este artículo</w:t>
      </w:r>
      <w:r>
        <w:rPr>
          <w:rFonts w:ascii="Arial" w:hAnsi="Arial" w:cs="Arial"/>
          <w:sz w:val="24"/>
          <w:szCs w:val="23"/>
        </w:rPr>
        <w:t xml:space="preserve"> </w:t>
      </w:r>
      <w:r w:rsidRPr="00BA6B7B">
        <w:rPr>
          <w:rFonts w:ascii="Arial" w:hAnsi="Arial" w:cs="Arial"/>
          <w:sz w:val="24"/>
          <w:szCs w:val="23"/>
        </w:rPr>
        <w:t xml:space="preserve">en el marco de </w:t>
      </w:r>
      <w:r>
        <w:rPr>
          <w:rFonts w:ascii="Arial" w:hAnsi="Arial" w:cs="Arial"/>
          <w:sz w:val="24"/>
          <w:szCs w:val="23"/>
        </w:rPr>
        <w:t>sus programas de medicina preventiva.</w:t>
      </w:r>
    </w:p>
    <w:p w:rsidR="00BA6B7B" w:rsidRDefault="00BA6B7B" w:rsidP="0051753D">
      <w:pPr>
        <w:spacing w:line="360" w:lineRule="auto"/>
        <w:jc w:val="both"/>
        <w:rPr>
          <w:rFonts w:ascii="Arial" w:hAnsi="Arial" w:cs="Arial"/>
          <w:sz w:val="24"/>
          <w:szCs w:val="23"/>
        </w:rPr>
      </w:pPr>
      <w:r w:rsidRPr="00BA6B7B">
        <w:rPr>
          <w:rFonts w:ascii="Arial" w:hAnsi="Arial" w:cs="Arial"/>
          <w:b/>
          <w:sz w:val="24"/>
          <w:szCs w:val="23"/>
        </w:rPr>
        <w:t>Parágrafo.</w:t>
      </w:r>
      <w:r w:rsidRPr="00BA6B7B">
        <w:rPr>
          <w:rFonts w:ascii="Arial" w:hAnsi="Arial" w:cs="Arial"/>
          <w:sz w:val="24"/>
          <w:szCs w:val="23"/>
        </w:rPr>
        <w:t xml:space="preserve"> Las entidades dispondrán del término de un año para dar cumplimiento a lo dispuesto en el presente artículo.</w:t>
      </w:r>
    </w:p>
    <w:p w:rsidR="00982B28" w:rsidRPr="00982B28" w:rsidRDefault="00982B28" w:rsidP="0051753D">
      <w:pPr>
        <w:spacing w:line="360" w:lineRule="auto"/>
        <w:jc w:val="both"/>
        <w:rPr>
          <w:rFonts w:ascii="Arial" w:hAnsi="Arial" w:cs="Arial"/>
          <w:sz w:val="24"/>
          <w:szCs w:val="24"/>
        </w:rPr>
      </w:pPr>
      <w:r w:rsidRPr="00982B28">
        <w:rPr>
          <w:rFonts w:ascii="Arial" w:hAnsi="Arial" w:cs="Arial"/>
          <w:b/>
          <w:sz w:val="24"/>
          <w:szCs w:val="24"/>
        </w:rPr>
        <w:t>Artículo 6º. Programas de comunicación para la salud en medios de comunicación a cargo de la Nación.</w:t>
      </w:r>
      <w:r w:rsidRPr="00982B28">
        <w:rPr>
          <w:rFonts w:ascii="Arial" w:hAnsi="Arial" w:cs="Arial"/>
          <w:sz w:val="24"/>
          <w:szCs w:val="24"/>
        </w:rPr>
        <w:t xml:space="preserve"> La Autoridad Nacional de Televisión destinará en forma gratuita y rotatoria espacios para la utilización por parte de las entidades públicas</w:t>
      </w:r>
      <w:r>
        <w:rPr>
          <w:rFonts w:ascii="Arial" w:hAnsi="Arial" w:cs="Arial"/>
          <w:sz w:val="24"/>
          <w:szCs w:val="24"/>
        </w:rPr>
        <w:t xml:space="preserve"> y </w:t>
      </w:r>
      <w:r w:rsidRPr="00982B28">
        <w:rPr>
          <w:rFonts w:ascii="Arial" w:hAnsi="Arial" w:cs="Arial"/>
          <w:sz w:val="24"/>
          <w:szCs w:val="24"/>
        </w:rPr>
        <w:t xml:space="preserve">Organizaciones No Gubernamentales cuyo trabajo no entre en conflictos de intereses con los objetivos de la presente ley, con el propósito de emitir mensajes de </w:t>
      </w:r>
      <w:r>
        <w:rPr>
          <w:rFonts w:ascii="Arial" w:hAnsi="Arial" w:cs="Arial"/>
          <w:sz w:val="24"/>
          <w:szCs w:val="24"/>
        </w:rPr>
        <w:t xml:space="preserve">prevención de la </w:t>
      </w:r>
      <w:r w:rsidR="00720F64">
        <w:rPr>
          <w:rFonts w:ascii="Arial" w:hAnsi="Arial" w:cs="Arial"/>
          <w:sz w:val="24"/>
          <w:szCs w:val="24"/>
        </w:rPr>
        <w:t>Automedicación</w:t>
      </w:r>
      <w:r>
        <w:rPr>
          <w:rFonts w:ascii="Arial" w:hAnsi="Arial" w:cs="Arial"/>
          <w:sz w:val="24"/>
          <w:szCs w:val="24"/>
        </w:rPr>
        <w:t xml:space="preserve"> en</w:t>
      </w:r>
      <w:r w:rsidRPr="00982B28">
        <w:rPr>
          <w:rFonts w:ascii="Arial" w:hAnsi="Arial" w:cs="Arial"/>
          <w:sz w:val="24"/>
          <w:szCs w:val="24"/>
        </w:rPr>
        <w:t xml:space="preserve"> horario triple A (horario AAA) </w:t>
      </w:r>
      <w:r>
        <w:rPr>
          <w:rFonts w:ascii="Arial" w:hAnsi="Arial" w:cs="Arial"/>
          <w:sz w:val="24"/>
          <w:szCs w:val="24"/>
        </w:rPr>
        <w:t>de</w:t>
      </w:r>
      <w:r w:rsidRPr="00982B28">
        <w:rPr>
          <w:rFonts w:ascii="Arial" w:hAnsi="Arial" w:cs="Arial"/>
          <w:sz w:val="24"/>
          <w:szCs w:val="24"/>
        </w:rPr>
        <w:t xml:space="preserve"> televisión por los medios ordinarios y canales por suscripción. De igual manera se deberá realizar la destinación de espacios que estén a cargo de la Nación para la difusión del mismo tipo de mensajes por emisoras radiales.</w:t>
      </w:r>
    </w:p>
    <w:p w:rsidR="00982B28" w:rsidRPr="00982B28" w:rsidRDefault="00982B28" w:rsidP="00BA31B6">
      <w:pPr>
        <w:spacing w:line="360" w:lineRule="auto"/>
        <w:jc w:val="both"/>
        <w:rPr>
          <w:rFonts w:ascii="Arial" w:hAnsi="Arial" w:cs="Arial"/>
          <w:b/>
          <w:sz w:val="24"/>
          <w:szCs w:val="24"/>
        </w:rPr>
      </w:pPr>
      <w:r w:rsidRPr="00982B28">
        <w:rPr>
          <w:rFonts w:ascii="Arial" w:hAnsi="Arial" w:cs="Arial"/>
          <w:b/>
          <w:sz w:val="24"/>
          <w:szCs w:val="24"/>
        </w:rPr>
        <w:t>Parágrafo.</w:t>
      </w:r>
      <w:r w:rsidRPr="00982B28">
        <w:rPr>
          <w:rFonts w:ascii="Arial" w:hAnsi="Arial" w:cs="Arial"/>
          <w:sz w:val="24"/>
          <w:szCs w:val="24"/>
        </w:rPr>
        <w:t xml:space="preserve"> El Ministerio de las Tecnologías de la Información y las Comunicaciones o quien haga sus veces reglamentará la materia.</w:t>
      </w:r>
    </w:p>
    <w:p w:rsidR="004342FA" w:rsidRDefault="004342FA" w:rsidP="00BA31B6">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Artículo 7º. </w:t>
      </w:r>
      <w:r>
        <w:rPr>
          <w:rFonts w:ascii="Arial" w:hAnsi="Arial" w:cs="Arial"/>
          <w:sz w:val="24"/>
          <w:szCs w:val="24"/>
        </w:rPr>
        <w:t>El Ministerio de Salud y Protección Social creará y fomentará la suscripción al “Pacto por el Consumo Responsable de Medicamentos”, vinculando a</w:t>
      </w:r>
      <w:r w:rsidRPr="009430F0">
        <w:rPr>
          <w:rFonts w:ascii="Arial" w:hAnsi="Arial" w:cs="Arial"/>
          <w:sz w:val="24"/>
          <w:szCs w:val="24"/>
        </w:rPr>
        <w:t xml:space="preserve"> </w:t>
      </w:r>
      <w:r>
        <w:rPr>
          <w:rFonts w:ascii="Arial" w:hAnsi="Arial" w:cs="Arial"/>
          <w:sz w:val="24"/>
          <w:szCs w:val="24"/>
        </w:rPr>
        <w:t>la Confederación Colombiana de Consumidores, la Red Nacional de Protección al Consumidor, la Cámara Colombiana de la Industria Farmacéutica (ANDI), AFIDRO, ASOCOLDRO, la ANDA</w:t>
      </w:r>
      <w:r w:rsidR="00DF2A10">
        <w:rPr>
          <w:rFonts w:ascii="Arial" w:hAnsi="Arial" w:cs="Arial"/>
          <w:sz w:val="24"/>
          <w:szCs w:val="24"/>
        </w:rPr>
        <w:t xml:space="preserve"> Colombia</w:t>
      </w:r>
      <w:r>
        <w:rPr>
          <w:rFonts w:ascii="Arial" w:hAnsi="Arial" w:cs="Arial"/>
          <w:sz w:val="24"/>
          <w:szCs w:val="24"/>
        </w:rPr>
        <w:t xml:space="preserve">, los grupos de investigación académica sobre medicamentos inscritos ante el Ministerio de Ciencia y Tecnología, las asociaciones de pacientes, y los medios de comunicación. </w:t>
      </w:r>
    </w:p>
    <w:p w:rsidR="004342FA" w:rsidRDefault="004342FA" w:rsidP="0051753D">
      <w:pPr>
        <w:autoSpaceDE w:val="0"/>
        <w:autoSpaceDN w:val="0"/>
        <w:adjustRightInd w:val="0"/>
        <w:spacing w:after="0" w:line="360" w:lineRule="auto"/>
        <w:rPr>
          <w:rFonts w:ascii="Arial" w:hAnsi="Arial" w:cs="Arial"/>
          <w:b/>
          <w:sz w:val="24"/>
          <w:szCs w:val="24"/>
        </w:rPr>
      </w:pPr>
    </w:p>
    <w:p w:rsidR="007D089B" w:rsidRDefault="0051753D" w:rsidP="00BA31B6">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Artículo </w:t>
      </w:r>
      <w:r w:rsidR="004342FA">
        <w:rPr>
          <w:rFonts w:ascii="Arial" w:hAnsi="Arial" w:cs="Arial"/>
          <w:b/>
          <w:sz w:val="24"/>
          <w:szCs w:val="24"/>
        </w:rPr>
        <w:t>8</w:t>
      </w:r>
      <w:r>
        <w:rPr>
          <w:rFonts w:ascii="Arial" w:hAnsi="Arial" w:cs="Arial"/>
          <w:b/>
          <w:sz w:val="24"/>
          <w:szCs w:val="24"/>
        </w:rPr>
        <w:t xml:space="preserve">º. </w:t>
      </w:r>
      <w:r w:rsidR="007D089B">
        <w:rPr>
          <w:rFonts w:ascii="Arial" w:hAnsi="Arial" w:cs="Arial"/>
          <w:sz w:val="24"/>
          <w:szCs w:val="24"/>
        </w:rPr>
        <w:t>El Ministerio de Salud y Protección Social creará y administrará la</w:t>
      </w:r>
      <w:r>
        <w:rPr>
          <w:rFonts w:ascii="Arial" w:hAnsi="Arial" w:cs="Arial"/>
          <w:sz w:val="24"/>
          <w:szCs w:val="24"/>
        </w:rPr>
        <w:t xml:space="preserve"> </w:t>
      </w:r>
      <w:r w:rsidR="007D089B">
        <w:rPr>
          <w:rFonts w:ascii="Arial" w:hAnsi="Arial" w:cs="Arial"/>
          <w:sz w:val="24"/>
          <w:szCs w:val="24"/>
        </w:rPr>
        <w:t>plataforma electrónica</w:t>
      </w:r>
      <w:r w:rsidR="007D089B" w:rsidRPr="009430F0">
        <w:rPr>
          <w:rFonts w:ascii="Arial" w:hAnsi="Arial" w:cs="Arial"/>
          <w:sz w:val="24"/>
          <w:szCs w:val="24"/>
        </w:rPr>
        <w:t xml:space="preserve"> que </w:t>
      </w:r>
      <w:r w:rsidR="007D089B">
        <w:rPr>
          <w:rFonts w:ascii="Arial" w:hAnsi="Arial" w:cs="Arial"/>
          <w:sz w:val="24"/>
          <w:szCs w:val="24"/>
        </w:rPr>
        <w:t>permitirá registrar las ventas de medicamentos de venta libre.</w:t>
      </w:r>
    </w:p>
    <w:p w:rsidR="007D089B" w:rsidRDefault="007D089B" w:rsidP="00BA31B6">
      <w:pPr>
        <w:autoSpaceDE w:val="0"/>
        <w:autoSpaceDN w:val="0"/>
        <w:adjustRightInd w:val="0"/>
        <w:spacing w:after="0" w:line="360" w:lineRule="auto"/>
        <w:jc w:val="both"/>
        <w:rPr>
          <w:rFonts w:ascii="Arial" w:hAnsi="Arial" w:cs="Arial"/>
          <w:sz w:val="24"/>
          <w:szCs w:val="24"/>
        </w:rPr>
      </w:pPr>
    </w:p>
    <w:p w:rsidR="009430F0" w:rsidRDefault="007D089B" w:rsidP="00BA31B6">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Parágrafo 1. </w:t>
      </w:r>
      <w:r w:rsidR="009430F0" w:rsidRPr="009430F0">
        <w:rPr>
          <w:rFonts w:ascii="Arial" w:hAnsi="Arial" w:cs="Arial"/>
          <w:sz w:val="24"/>
          <w:szCs w:val="24"/>
        </w:rPr>
        <w:t xml:space="preserve">Los propietarios, administradores y </w:t>
      </w:r>
      <w:r w:rsidR="00754931">
        <w:rPr>
          <w:rFonts w:ascii="Arial" w:hAnsi="Arial" w:cs="Arial"/>
          <w:sz w:val="24"/>
          <w:szCs w:val="24"/>
        </w:rPr>
        <w:t>regentes</w:t>
      </w:r>
      <w:r w:rsidR="009430F0" w:rsidRPr="009430F0">
        <w:rPr>
          <w:rFonts w:ascii="Arial" w:hAnsi="Arial" w:cs="Arial"/>
          <w:sz w:val="24"/>
          <w:szCs w:val="24"/>
        </w:rPr>
        <w:t xml:space="preserve"> de </w:t>
      </w:r>
      <w:r w:rsidR="009C24A2">
        <w:rPr>
          <w:rFonts w:ascii="Arial" w:hAnsi="Arial" w:cs="Arial"/>
          <w:sz w:val="24"/>
          <w:szCs w:val="24"/>
        </w:rPr>
        <w:t>los establecimientos farmacéuticos</w:t>
      </w:r>
      <w:r w:rsidR="00754931">
        <w:rPr>
          <w:rFonts w:ascii="Arial" w:hAnsi="Arial" w:cs="Arial"/>
          <w:sz w:val="24"/>
          <w:szCs w:val="24"/>
        </w:rPr>
        <w:t>, deberán</w:t>
      </w:r>
      <w:r w:rsidR="009430F0" w:rsidRPr="009430F0">
        <w:rPr>
          <w:rFonts w:ascii="Arial" w:hAnsi="Arial" w:cs="Arial"/>
          <w:sz w:val="24"/>
          <w:szCs w:val="24"/>
        </w:rPr>
        <w:t xml:space="preserve"> registrar </w:t>
      </w:r>
      <w:r w:rsidR="00754931">
        <w:rPr>
          <w:rFonts w:ascii="Arial" w:hAnsi="Arial" w:cs="Arial"/>
          <w:sz w:val="24"/>
          <w:szCs w:val="24"/>
        </w:rPr>
        <w:t>las ventas de medicamentos de venta libre</w:t>
      </w:r>
      <w:r w:rsidR="009B3395">
        <w:rPr>
          <w:rFonts w:ascii="Arial" w:hAnsi="Arial" w:cs="Arial"/>
          <w:sz w:val="24"/>
          <w:szCs w:val="24"/>
        </w:rPr>
        <w:t xml:space="preserve"> </w:t>
      </w:r>
      <w:r>
        <w:rPr>
          <w:rFonts w:ascii="Arial" w:hAnsi="Arial" w:cs="Arial"/>
          <w:sz w:val="24"/>
          <w:szCs w:val="24"/>
        </w:rPr>
        <w:t>en la plataforma creada.</w:t>
      </w:r>
    </w:p>
    <w:p w:rsidR="001055EE" w:rsidRPr="001055EE" w:rsidRDefault="001055EE" w:rsidP="00BA31B6">
      <w:pPr>
        <w:autoSpaceDE w:val="0"/>
        <w:autoSpaceDN w:val="0"/>
        <w:adjustRightInd w:val="0"/>
        <w:spacing w:after="0" w:line="360" w:lineRule="auto"/>
        <w:jc w:val="both"/>
        <w:rPr>
          <w:rFonts w:ascii="Arial" w:hAnsi="Arial" w:cs="Arial"/>
          <w:b/>
          <w:sz w:val="24"/>
          <w:szCs w:val="24"/>
        </w:rPr>
      </w:pPr>
    </w:p>
    <w:p w:rsidR="009430F0" w:rsidRPr="009430F0" w:rsidRDefault="009430F0" w:rsidP="00BA31B6">
      <w:pPr>
        <w:autoSpaceDE w:val="0"/>
        <w:autoSpaceDN w:val="0"/>
        <w:adjustRightInd w:val="0"/>
        <w:spacing w:after="0" w:line="360" w:lineRule="auto"/>
        <w:jc w:val="both"/>
        <w:rPr>
          <w:rFonts w:ascii="Arial" w:hAnsi="Arial" w:cs="Arial"/>
          <w:sz w:val="24"/>
          <w:szCs w:val="24"/>
        </w:rPr>
      </w:pPr>
      <w:r w:rsidRPr="001055EE">
        <w:rPr>
          <w:rFonts w:ascii="Arial" w:hAnsi="Arial" w:cs="Arial"/>
          <w:b/>
          <w:sz w:val="24"/>
          <w:szCs w:val="24"/>
        </w:rPr>
        <w:t xml:space="preserve">Parágrafo </w:t>
      </w:r>
      <w:r w:rsidR="007D089B">
        <w:rPr>
          <w:rFonts w:ascii="Arial" w:hAnsi="Arial" w:cs="Arial"/>
          <w:b/>
          <w:sz w:val="24"/>
          <w:szCs w:val="24"/>
        </w:rPr>
        <w:t>2</w:t>
      </w:r>
      <w:r w:rsidRPr="001055EE">
        <w:rPr>
          <w:rFonts w:ascii="Arial" w:hAnsi="Arial" w:cs="Arial"/>
          <w:b/>
          <w:sz w:val="24"/>
          <w:szCs w:val="24"/>
        </w:rPr>
        <w:t>.</w:t>
      </w:r>
      <w:r w:rsidRPr="009430F0">
        <w:rPr>
          <w:rFonts w:ascii="Arial" w:hAnsi="Arial" w:cs="Arial"/>
          <w:sz w:val="24"/>
          <w:szCs w:val="24"/>
        </w:rPr>
        <w:t xml:space="preserve"> </w:t>
      </w:r>
      <w:r w:rsidR="001055EE">
        <w:rPr>
          <w:rFonts w:ascii="Arial" w:hAnsi="Arial" w:cs="Arial"/>
          <w:sz w:val="24"/>
          <w:szCs w:val="24"/>
        </w:rPr>
        <w:t>El Ministerio de Salud</w:t>
      </w:r>
      <w:r w:rsidRPr="009430F0">
        <w:rPr>
          <w:rFonts w:ascii="Arial" w:hAnsi="Arial" w:cs="Arial"/>
          <w:sz w:val="24"/>
          <w:szCs w:val="24"/>
        </w:rPr>
        <w:t xml:space="preserve"> </w:t>
      </w:r>
      <w:r w:rsidR="001055EE">
        <w:rPr>
          <w:rFonts w:ascii="Arial" w:hAnsi="Arial" w:cs="Arial"/>
          <w:sz w:val="24"/>
          <w:szCs w:val="24"/>
        </w:rPr>
        <w:t>y Protección Social promoverá el</w:t>
      </w:r>
      <w:r w:rsidR="00E07D31">
        <w:rPr>
          <w:rFonts w:ascii="Arial" w:hAnsi="Arial" w:cs="Arial"/>
          <w:sz w:val="24"/>
          <w:szCs w:val="24"/>
        </w:rPr>
        <w:t xml:space="preserve"> </w:t>
      </w:r>
      <w:r w:rsidR="001055EE">
        <w:rPr>
          <w:rFonts w:ascii="Arial" w:hAnsi="Arial" w:cs="Arial"/>
          <w:sz w:val="24"/>
          <w:szCs w:val="24"/>
        </w:rPr>
        <w:t>cumplimiento de esta norma</w:t>
      </w:r>
      <w:r w:rsidRPr="009430F0">
        <w:rPr>
          <w:rFonts w:ascii="Arial" w:hAnsi="Arial" w:cs="Arial"/>
          <w:sz w:val="24"/>
          <w:szCs w:val="24"/>
        </w:rPr>
        <w:t xml:space="preserve"> mediante la participación de </w:t>
      </w:r>
      <w:r w:rsidR="001055EE">
        <w:rPr>
          <w:rFonts w:ascii="Arial" w:hAnsi="Arial" w:cs="Arial"/>
          <w:sz w:val="24"/>
          <w:szCs w:val="24"/>
        </w:rPr>
        <w:t>la Confederación Colombiana de Consumidores</w:t>
      </w:r>
      <w:r w:rsidR="0017578F">
        <w:rPr>
          <w:rFonts w:ascii="Arial" w:hAnsi="Arial" w:cs="Arial"/>
          <w:sz w:val="24"/>
          <w:szCs w:val="24"/>
        </w:rPr>
        <w:t xml:space="preserve">, </w:t>
      </w:r>
      <w:r w:rsidR="001055EE">
        <w:rPr>
          <w:rFonts w:ascii="Arial" w:hAnsi="Arial" w:cs="Arial"/>
          <w:sz w:val="24"/>
          <w:szCs w:val="24"/>
        </w:rPr>
        <w:t>la Red Nacional de Protección al Consumidor</w:t>
      </w:r>
      <w:r w:rsidR="0017578F">
        <w:rPr>
          <w:rFonts w:ascii="Arial" w:hAnsi="Arial" w:cs="Arial"/>
          <w:sz w:val="24"/>
          <w:szCs w:val="24"/>
        </w:rPr>
        <w:t>, la Cámara Colombiana de la Industria Farmacéutica (ANDI), AFIDRO</w:t>
      </w:r>
      <w:r w:rsidR="009D4FE0">
        <w:rPr>
          <w:rFonts w:ascii="Arial" w:hAnsi="Arial" w:cs="Arial"/>
          <w:sz w:val="24"/>
          <w:szCs w:val="24"/>
        </w:rPr>
        <w:t xml:space="preserve">, </w:t>
      </w:r>
      <w:r w:rsidR="0017578F">
        <w:rPr>
          <w:rFonts w:ascii="Arial" w:hAnsi="Arial" w:cs="Arial"/>
          <w:sz w:val="24"/>
          <w:szCs w:val="24"/>
        </w:rPr>
        <w:t>ASOCOLDRO</w:t>
      </w:r>
      <w:r w:rsidR="009D4FE0">
        <w:rPr>
          <w:rFonts w:ascii="Arial" w:hAnsi="Arial" w:cs="Arial"/>
          <w:sz w:val="24"/>
          <w:szCs w:val="24"/>
        </w:rPr>
        <w:t xml:space="preserve"> y los grupos de investigación académica sobre medicamentos</w:t>
      </w:r>
      <w:r w:rsidR="0051753D">
        <w:rPr>
          <w:rFonts w:ascii="Arial" w:hAnsi="Arial" w:cs="Arial"/>
          <w:sz w:val="24"/>
          <w:szCs w:val="24"/>
        </w:rPr>
        <w:t xml:space="preserve"> inscritos ante el Ministerio de Ciencia y Tecnología</w:t>
      </w:r>
      <w:r w:rsidR="0017578F">
        <w:rPr>
          <w:rFonts w:ascii="Arial" w:hAnsi="Arial" w:cs="Arial"/>
          <w:sz w:val="24"/>
          <w:szCs w:val="24"/>
        </w:rPr>
        <w:t>.</w:t>
      </w:r>
    </w:p>
    <w:p w:rsidR="009430F0" w:rsidRPr="009430F0" w:rsidRDefault="009430F0" w:rsidP="00BA31B6">
      <w:pPr>
        <w:autoSpaceDE w:val="0"/>
        <w:autoSpaceDN w:val="0"/>
        <w:adjustRightInd w:val="0"/>
        <w:spacing w:after="0" w:line="360" w:lineRule="auto"/>
        <w:jc w:val="both"/>
        <w:rPr>
          <w:rFonts w:ascii="Arial" w:hAnsi="Arial" w:cs="Arial"/>
          <w:sz w:val="24"/>
          <w:szCs w:val="24"/>
        </w:rPr>
      </w:pPr>
    </w:p>
    <w:p w:rsidR="009430F0" w:rsidRPr="009430F0" w:rsidRDefault="009430F0" w:rsidP="00BA31B6">
      <w:pPr>
        <w:autoSpaceDE w:val="0"/>
        <w:autoSpaceDN w:val="0"/>
        <w:adjustRightInd w:val="0"/>
        <w:spacing w:after="0" w:line="360" w:lineRule="auto"/>
        <w:jc w:val="both"/>
        <w:rPr>
          <w:rFonts w:ascii="Arial" w:hAnsi="Arial" w:cs="Arial"/>
          <w:sz w:val="24"/>
          <w:szCs w:val="24"/>
        </w:rPr>
      </w:pPr>
      <w:r w:rsidRPr="001055EE">
        <w:rPr>
          <w:rFonts w:ascii="Arial" w:hAnsi="Arial" w:cs="Arial"/>
          <w:b/>
          <w:sz w:val="24"/>
          <w:szCs w:val="24"/>
        </w:rPr>
        <w:t xml:space="preserve">Artículo </w:t>
      </w:r>
      <w:r w:rsidR="004342FA">
        <w:rPr>
          <w:rFonts w:ascii="Arial" w:hAnsi="Arial" w:cs="Arial"/>
          <w:b/>
          <w:sz w:val="24"/>
          <w:szCs w:val="24"/>
        </w:rPr>
        <w:t>9</w:t>
      </w:r>
      <w:r w:rsidRPr="001055EE">
        <w:rPr>
          <w:rFonts w:ascii="Arial" w:hAnsi="Arial" w:cs="Arial"/>
          <w:b/>
          <w:sz w:val="24"/>
          <w:szCs w:val="24"/>
        </w:rPr>
        <w:t>º.</w:t>
      </w:r>
      <w:r w:rsidRPr="009430F0">
        <w:rPr>
          <w:rFonts w:ascii="Arial" w:hAnsi="Arial" w:cs="Arial"/>
          <w:sz w:val="24"/>
          <w:szCs w:val="24"/>
        </w:rPr>
        <w:t xml:space="preserve"> </w:t>
      </w:r>
      <w:r w:rsidR="00E07D31" w:rsidRPr="009430F0">
        <w:rPr>
          <w:rFonts w:ascii="Arial" w:hAnsi="Arial" w:cs="Arial"/>
          <w:sz w:val="24"/>
          <w:szCs w:val="24"/>
        </w:rPr>
        <w:t xml:space="preserve">Los propietarios, administradores y </w:t>
      </w:r>
      <w:r w:rsidR="00E07D31">
        <w:rPr>
          <w:rFonts w:ascii="Arial" w:hAnsi="Arial" w:cs="Arial"/>
          <w:sz w:val="24"/>
          <w:szCs w:val="24"/>
        </w:rPr>
        <w:t>regentes</w:t>
      </w:r>
      <w:r w:rsidR="00E07D31" w:rsidRPr="009430F0">
        <w:rPr>
          <w:rFonts w:ascii="Arial" w:hAnsi="Arial" w:cs="Arial"/>
          <w:sz w:val="24"/>
          <w:szCs w:val="24"/>
        </w:rPr>
        <w:t xml:space="preserve"> de </w:t>
      </w:r>
      <w:r w:rsidR="009C24A2">
        <w:rPr>
          <w:rFonts w:ascii="Arial" w:hAnsi="Arial" w:cs="Arial"/>
          <w:sz w:val="24"/>
          <w:szCs w:val="24"/>
        </w:rPr>
        <w:t>los establecimientos farmacéuticos</w:t>
      </w:r>
      <w:r w:rsidR="00E07D31">
        <w:rPr>
          <w:rFonts w:ascii="Arial" w:hAnsi="Arial" w:cs="Arial"/>
          <w:sz w:val="24"/>
          <w:szCs w:val="24"/>
        </w:rPr>
        <w:t>,</w:t>
      </w:r>
      <w:r w:rsidRPr="009430F0">
        <w:rPr>
          <w:rFonts w:ascii="Arial" w:hAnsi="Arial" w:cs="Arial"/>
          <w:sz w:val="24"/>
          <w:szCs w:val="24"/>
        </w:rPr>
        <w:t xml:space="preserve"> no podrán vender de manera fraccionada medicamentos antibióticos al público, ni dispensar tratamientos con medicamentos</w:t>
      </w:r>
      <w:r w:rsidR="00E07D31">
        <w:rPr>
          <w:rFonts w:ascii="Arial" w:hAnsi="Arial" w:cs="Arial"/>
          <w:sz w:val="24"/>
          <w:szCs w:val="24"/>
        </w:rPr>
        <w:t xml:space="preserve"> </w:t>
      </w:r>
      <w:r w:rsidRPr="009430F0">
        <w:rPr>
          <w:rFonts w:ascii="Arial" w:hAnsi="Arial" w:cs="Arial"/>
          <w:sz w:val="24"/>
          <w:szCs w:val="24"/>
        </w:rPr>
        <w:t>antibióticos de manera incompleta.</w:t>
      </w:r>
    </w:p>
    <w:p w:rsidR="009430F0" w:rsidRPr="009430F0" w:rsidRDefault="009430F0" w:rsidP="00FF42B1">
      <w:pPr>
        <w:autoSpaceDE w:val="0"/>
        <w:autoSpaceDN w:val="0"/>
        <w:adjustRightInd w:val="0"/>
        <w:spacing w:after="0" w:line="360" w:lineRule="auto"/>
        <w:rPr>
          <w:rFonts w:ascii="Arial" w:hAnsi="Arial" w:cs="Arial"/>
          <w:sz w:val="24"/>
          <w:szCs w:val="24"/>
        </w:rPr>
      </w:pPr>
    </w:p>
    <w:p w:rsidR="009430F0" w:rsidRPr="009430F0" w:rsidRDefault="009430F0" w:rsidP="00BA31B6">
      <w:pPr>
        <w:autoSpaceDE w:val="0"/>
        <w:autoSpaceDN w:val="0"/>
        <w:adjustRightInd w:val="0"/>
        <w:spacing w:after="0" w:line="360" w:lineRule="auto"/>
        <w:jc w:val="both"/>
        <w:rPr>
          <w:rFonts w:ascii="Arial" w:hAnsi="Arial" w:cs="Arial"/>
          <w:sz w:val="24"/>
          <w:szCs w:val="24"/>
        </w:rPr>
      </w:pPr>
      <w:r w:rsidRPr="00E07D31">
        <w:rPr>
          <w:rFonts w:ascii="Arial" w:hAnsi="Arial" w:cs="Arial"/>
          <w:b/>
          <w:sz w:val="24"/>
          <w:szCs w:val="24"/>
        </w:rPr>
        <w:t>Parágrafo.</w:t>
      </w:r>
      <w:r w:rsidRPr="009430F0">
        <w:rPr>
          <w:rFonts w:ascii="Arial" w:hAnsi="Arial" w:cs="Arial"/>
          <w:sz w:val="24"/>
          <w:szCs w:val="24"/>
        </w:rPr>
        <w:t xml:space="preserve"> </w:t>
      </w:r>
      <w:r w:rsidR="009C24A2">
        <w:rPr>
          <w:rFonts w:ascii="Arial" w:hAnsi="Arial" w:cs="Arial"/>
          <w:sz w:val="24"/>
          <w:szCs w:val="24"/>
        </w:rPr>
        <w:t>Los establecimientos farmacéuticos</w:t>
      </w:r>
      <w:r w:rsidRPr="009430F0">
        <w:rPr>
          <w:rFonts w:ascii="Arial" w:hAnsi="Arial" w:cs="Arial"/>
          <w:sz w:val="24"/>
          <w:szCs w:val="24"/>
        </w:rPr>
        <w:t xml:space="preserve"> deberán ubicar, en lugar visible al público, un </w:t>
      </w:r>
      <w:r w:rsidR="00E07D31">
        <w:rPr>
          <w:rFonts w:ascii="Arial" w:hAnsi="Arial" w:cs="Arial"/>
          <w:sz w:val="24"/>
          <w:szCs w:val="24"/>
        </w:rPr>
        <w:t>letrero tipo placa,</w:t>
      </w:r>
      <w:r w:rsidRPr="009430F0">
        <w:rPr>
          <w:rFonts w:ascii="Arial" w:hAnsi="Arial" w:cs="Arial"/>
          <w:sz w:val="24"/>
          <w:szCs w:val="24"/>
        </w:rPr>
        <w:t xml:space="preserve"> en </w:t>
      </w:r>
      <w:r w:rsidR="00E07D31">
        <w:rPr>
          <w:rFonts w:ascii="Arial" w:hAnsi="Arial" w:cs="Arial"/>
          <w:sz w:val="24"/>
          <w:szCs w:val="24"/>
        </w:rPr>
        <w:t>el</w:t>
      </w:r>
      <w:r w:rsidRPr="009430F0">
        <w:rPr>
          <w:rFonts w:ascii="Arial" w:hAnsi="Arial" w:cs="Arial"/>
          <w:sz w:val="24"/>
          <w:szCs w:val="24"/>
        </w:rPr>
        <w:t xml:space="preserve"> cual se transcriba la disposición contenida en este artículo.</w:t>
      </w:r>
    </w:p>
    <w:p w:rsidR="0051753D" w:rsidRPr="0051753D" w:rsidRDefault="0088133D" w:rsidP="00BA31B6">
      <w:pPr>
        <w:spacing w:line="360" w:lineRule="auto"/>
        <w:jc w:val="both"/>
        <w:rPr>
          <w:rFonts w:ascii="Arial" w:hAnsi="Arial" w:cs="Arial"/>
          <w:sz w:val="24"/>
          <w:szCs w:val="24"/>
        </w:rPr>
      </w:pPr>
      <w:r w:rsidRPr="0051753D">
        <w:rPr>
          <w:rFonts w:ascii="Arial" w:hAnsi="Arial" w:cs="Arial"/>
          <w:b/>
          <w:sz w:val="24"/>
          <w:szCs w:val="24"/>
        </w:rPr>
        <w:t xml:space="preserve">Artículo </w:t>
      </w:r>
      <w:r w:rsidR="004342FA">
        <w:rPr>
          <w:rFonts w:ascii="Arial" w:hAnsi="Arial" w:cs="Arial"/>
          <w:b/>
          <w:sz w:val="24"/>
          <w:szCs w:val="24"/>
        </w:rPr>
        <w:t>10</w:t>
      </w:r>
      <w:r w:rsidRPr="0051753D">
        <w:rPr>
          <w:rFonts w:ascii="Arial" w:hAnsi="Arial" w:cs="Arial"/>
          <w:b/>
          <w:sz w:val="24"/>
          <w:szCs w:val="24"/>
        </w:rPr>
        <w:t xml:space="preserve">°. </w:t>
      </w:r>
      <w:r w:rsidR="0051753D" w:rsidRPr="0051753D">
        <w:rPr>
          <w:rFonts w:ascii="Arial" w:hAnsi="Arial" w:cs="Arial"/>
          <w:b/>
          <w:sz w:val="24"/>
          <w:szCs w:val="24"/>
        </w:rPr>
        <w:t>Régimen sancionatorio</w:t>
      </w:r>
      <w:r w:rsidR="0051753D" w:rsidRPr="0051753D">
        <w:rPr>
          <w:rFonts w:ascii="Arial" w:hAnsi="Arial" w:cs="Arial"/>
          <w:sz w:val="24"/>
          <w:szCs w:val="24"/>
        </w:rPr>
        <w:t xml:space="preserve">. El incumplimiento de lo establecido en </w:t>
      </w:r>
      <w:r w:rsidR="004342FA">
        <w:rPr>
          <w:rFonts w:ascii="Arial" w:hAnsi="Arial" w:cs="Arial"/>
          <w:sz w:val="24"/>
          <w:szCs w:val="24"/>
        </w:rPr>
        <w:t>la presente</w:t>
      </w:r>
      <w:r w:rsidR="0051753D" w:rsidRPr="0051753D">
        <w:rPr>
          <w:rFonts w:ascii="Arial" w:hAnsi="Arial" w:cs="Arial"/>
          <w:sz w:val="24"/>
          <w:szCs w:val="24"/>
        </w:rPr>
        <w:t xml:space="preserve"> ley dará lugar al procedimiento y sanciones establecidas en los artículos 60, 61 y 62 de la Ley 1480 de 2011.  </w:t>
      </w:r>
    </w:p>
    <w:p w:rsidR="0051753D" w:rsidRPr="004342FA" w:rsidRDefault="0051753D" w:rsidP="00BA31B6">
      <w:pPr>
        <w:spacing w:line="360" w:lineRule="auto"/>
        <w:jc w:val="both"/>
        <w:rPr>
          <w:rFonts w:ascii="Arial" w:hAnsi="Arial" w:cs="Arial"/>
          <w:sz w:val="24"/>
          <w:szCs w:val="24"/>
        </w:rPr>
      </w:pPr>
      <w:r w:rsidRPr="004342FA">
        <w:rPr>
          <w:rFonts w:ascii="Arial" w:hAnsi="Arial" w:cs="Arial"/>
          <w:b/>
          <w:sz w:val="24"/>
          <w:szCs w:val="24"/>
        </w:rPr>
        <w:t>Parágrafo 1.</w:t>
      </w:r>
      <w:r w:rsidRPr="004342FA">
        <w:rPr>
          <w:rFonts w:ascii="Arial" w:hAnsi="Arial" w:cs="Arial"/>
          <w:sz w:val="24"/>
          <w:szCs w:val="24"/>
        </w:rPr>
        <w:t xml:space="preserve"> El 50 % de los recursos que se obtengan con la aplicación del régimen sancionatorio por el incumplimiento de la presente ley, se destinará a las acciones establecidas en el artículo </w:t>
      </w:r>
      <w:r w:rsidR="004342FA">
        <w:rPr>
          <w:rFonts w:ascii="Arial" w:hAnsi="Arial" w:cs="Arial"/>
          <w:sz w:val="24"/>
          <w:szCs w:val="24"/>
        </w:rPr>
        <w:t>6</w:t>
      </w:r>
      <w:r w:rsidRPr="004342FA">
        <w:rPr>
          <w:rFonts w:ascii="Arial" w:hAnsi="Arial" w:cs="Arial"/>
          <w:sz w:val="24"/>
          <w:szCs w:val="24"/>
        </w:rPr>
        <w:t xml:space="preserve">º de esta ley.  </w:t>
      </w:r>
    </w:p>
    <w:p w:rsidR="009430F0" w:rsidRPr="009430F0" w:rsidRDefault="007D5BC5" w:rsidP="00BA31B6">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Artículo 1</w:t>
      </w:r>
      <w:r w:rsidR="004342FA">
        <w:rPr>
          <w:rFonts w:ascii="Arial" w:hAnsi="Arial" w:cs="Arial"/>
          <w:b/>
          <w:sz w:val="24"/>
          <w:szCs w:val="24"/>
        </w:rPr>
        <w:t>1</w:t>
      </w:r>
      <w:r>
        <w:rPr>
          <w:rFonts w:ascii="Arial" w:hAnsi="Arial" w:cs="Arial"/>
          <w:b/>
          <w:sz w:val="24"/>
          <w:szCs w:val="24"/>
        </w:rPr>
        <w:t xml:space="preserve">°. </w:t>
      </w:r>
      <w:r w:rsidR="009430F0" w:rsidRPr="009430F0">
        <w:rPr>
          <w:rFonts w:ascii="Arial" w:hAnsi="Arial" w:cs="Arial"/>
          <w:sz w:val="24"/>
          <w:szCs w:val="24"/>
        </w:rPr>
        <w:t>La presente ley rige a partir de la fecha de su promulgación y deroga todas las normas que le sean contrarias.</w:t>
      </w:r>
    </w:p>
    <w:p w:rsidR="009430F0" w:rsidRPr="009430F0" w:rsidRDefault="009430F0" w:rsidP="009430F0">
      <w:pPr>
        <w:autoSpaceDE w:val="0"/>
        <w:autoSpaceDN w:val="0"/>
        <w:adjustRightInd w:val="0"/>
        <w:spacing w:after="0" w:line="240" w:lineRule="auto"/>
        <w:rPr>
          <w:rFonts w:ascii="Arial" w:hAnsi="Arial" w:cs="Arial"/>
          <w:sz w:val="24"/>
          <w:szCs w:val="24"/>
        </w:rPr>
      </w:pPr>
    </w:p>
    <w:p w:rsidR="00EB32CC" w:rsidRDefault="00EB32CC" w:rsidP="009430F0">
      <w:pPr>
        <w:autoSpaceDE w:val="0"/>
        <w:autoSpaceDN w:val="0"/>
        <w:adjustRightInd w:val="0"/>
        <w:spacing w:after="0" w:line="240" w:lineRule="auto"/>
        <w:rPr>
          <w:rFonts w:ascii="Arial" w:hAnsi="Arial" w:cs="Arial"/>
          <w:sz w:val="24"/>
          <w:szCs w:val="24"/>
        </w:rPr>
      </w:pPr>
    </w:p>
    <w:p w:rsidR="009430F0" w:rsidRPr="009430F0" w:rsidRDefault="009430F0" w:rsidP="009430F0">
      <w:pPr>
        <w:autoSpaceDE w:val="0"/>
        <w:autoSpaceDN w:val="0"/>
        <w:adjustRightInd w:val="0"/>
        <w:spacing w:after="0" w:line="240" w:lineRule="auto"/>
        <w:rPr>
          <w:rFonts w:ascii="Arial" w:hAnsi="Arial" w:cs="Arial"/>
          <w:sz w:val="24"/>
          <w:szCs w:val="24"/>
        </w:rPr>
      </w:pPr>
      <w:r w:rsidRPr="009430F0">
        <w:rPr>
          <w:rFonts w:ascii="Arial" w:hAnsi="Arial" w:cs="Arial"/>
          <w:sz w:val="24"/>
          <w:szCs w:val="24"/>
        </w:rPr>
        <w:t>De los honorables Congresistas,</w:t>
      </w:r>
    </w:p>
    <w:p w:rsidR="009430F0" w:rsidRPr="009430F0" w:rsidRDefault="009430F0" w:rsidP="009430F0">
      <w:pPr>
        <w:autoSpaceDE w:val="0"/>
        <w:autoSpaceDN w:val="0"/>
        <w:adjustRightInd w:val="0"/>
        <w:spacing w:after="0" w:line="240" w:lineRule="auto"/>
        <w:rPr>
          <w:rFonts w:ascii="Arial" w:hAnsi="Arial" w:cs="Arial"/>
          <w:sz w:val="24"/>
          <w:szCs w:val="24"/>
        </w:rPr>
      </w:pPr>
    </w:p>
    <w:p w:rsidR="00FF42B1" w:rsidRDefault="00FF42B1" w:rsidP="009430F0">
      <w:pPr>
        <w:autoSpaceDE w:val="0"/>
        <w:autoSpaceDN w:val="0"/>
        <w:adjustRightInd w:val="0"/>
        <w:spacing w:after="0" w:line="240" w:lineRule="auto"/>
        <w:rPr>
          <w:rFonts w:ascii="Arial" w:hAnsi="Arial" w:cs="Arial"/>
          <w:b/>
          <w:i/>
          <w:iCs/>
          <w:sz w:val="24"/>
          <w:szCs w:val="24"/>
        </w:rPr>
      </w:pPr>
    </w:p>
    <w:p w:rsidR="00FF42B1" w:rsidRDefault="00FF42B1" w:rsidP="009430F0">
      <w:pPr>
        <w:autoSpaceDE w:val="0"/>
        <w:autoSpaceDN w:val="0"/>
        <w:adjustRightInd w:val="0"/>
        <w:spacing w:after="0" w:line="240" w:lineRule="auto"/>
        <w:rPr>
          <w:rFonts w:ascii="Arial" w:hAnsi="Arial" w:cs="Arial"/>
          <w:b/>
          <w:i/>
          <w:iCs/>
          <w:sz w:val="24"/>
          <w:szCs w:val="24"/>
        </w:rPr>
      </w:pPr>
    </w:p>
    <w:p w:rsidR="009430F0" w:rsidRPr="003D4E84" w:rsidRDefault="009430F0" w:rsidP="009430F0">
      <w:pPr>
        <w:autoSpaceDE w:val="0"/>
        <w:autoSpaceDN w:val="0"/>
        <w:adjustRightInd w:val="0"/>
        <w:spacing w:after="0" w:line="240" w:lineRule="auto"/>
        <w:rPr>
          <w:rFonts w:ascii="Arial" w:hAnsi="Arial" w:cs="Arial"/>
          <w:b/>
          <w:iCs/>
          <w:sz w:val="24"/>
          <w:szCs w:val="24"/>
        </w:rPr>
      </w:pPr>
      <w:r w:rsidRPr="003D4E84">
        <w:rPr>
          <w:rFonts w:ascii="Arial" w:hAnsi="Arial" w:cs="Arial"/>
          <w:b/>
          <w:iCs/>
          <w:sz w:val="24"/>
          <w:szCs w:val="24"/>
        </w:rPr>
        <w:t>Gustavo Bolívar Moreno,</w:t>
      </w:r>
    </w:p>
    <w:p w:rsidR="00C13F3E" w:rsidRPr="003D4E84" w:rsidRDefault="009430F0" w:rsidP="009430F0">
      <w:pPr>
        <w:autoSpaceDE w:val="0"/>
        <w:autoSpaceDN w:val="0"/>
        <w:adjustRightInd w:val="0"/>
        <w:spacing w:after="0" w:line="240" w:lineRule="auto"/>
        <w:rPr>
          <w:rFonts w:ascii="Arial" w:hAnsi="Arial" w:cs="Arial"/>
          <w:sz w:val="24"/>
          <w:szCs w:val="24"/>
        </w:rPr>
      </w:pPr>
      <w:r w:rsidRPr="003D4E84">
        <w:rPr>
          <w:rFonts w:ascii="Arial" w:hAnsi="Arial" w:cs="Arial"/>
          <w:sz w:val="24"/>
          <w:szCs w:val="24"/>
        </w:rPr>
        <w:t>Senador de la República</w:t>
      </w:r>
      <w:r w:rsidR="00720F64" w:rsidRPr="003D4E84">
        <w:rPr>
          <w:rFonts w:ascii="Arial" w:hAnsi="Arial" w:cs="Arial"/>
          <w:sz w:val="24"/>
          <w:szCs w:val="24"/>
        </w:rPr>
        <w:br/>
        <w:t>Coalición Decentes</w:t>
      </w:r>
    </w:p>
    <w:p w:rsidR="00C13F3E" w:rsidRPr="003D4E84" w:rsidRDefault="00C13F3E">
      <w:pPr>
        <w:rPr>
          <w:rFonts w:ascii="Arial" w:hAnsi="Arial" w:cs="Arial"/>
          <w:sz w:val="24"/>
          <w:szCs w:val="24"/>
        </w:rPr>
      </w:pPr>
      <w:r w:rsidRPr="003D4E84">
        <w:rPr>
          <w:rFonts w:ascii="Arial" w:hAnsi="Arial" w:cs="Arial"/>
          <w:sz w:val="24"/>
          <w:szCs w:val="24"/>
        </w:rPr>
        <w:br w:type="page"/>
      </w:r>
    </w:p>
    <w:p w:rsidR="00C13F3E" w:rsidRDefault="00C13F3E" w:rsidP="00C13F3E">
      <w:pPr>
        <w:jc w:val="center"/>
        <w:rPr>
          <w:rFonts w:ascii="Arial" w:hAnsi="Arial" w:cs="Arial"/>
          <w:sz w:val="24"/>
          <w:szCs w:val="24"/>
        </w:rPr>
      </w:pPr>
      <w:r>
        <w:rPr>
          <w:rFonts w:ascii="Arial" w:hAnsi="Arial" w:cs="Arial"/>
          <w:b/>
          <w:sz w:val="24"/>
          <w:szCs w:val="24"/>
        </w:rPr>
        <w:t>Exposición de motivos</w:t>
      </w:r>
    </w:p>
    <w:p w:rsidR="002460F2" w:rsidRPr="002460F2" w:rsidRDefault="00DF2A10" w:rsidP="002460F2">
      <w:pPr>
        <w:pStyle w:val="NormalWeb"/>
        <w:numPr>
          <w:ilvl w:val="0"/>
          <w:numId w:val="2"/>
        </w:numPr>
        <w:shd w:val="clear" w:color="auto" w:fill="FFFFFF"/>
        <w:ind w:left="426" w:hanging="66"/>
        <w:jc w:val="both"/>
        <w:rPr>
          <w:rFonts w:ascii="Arial" w:hAnsi="Arial" w:cs="Arial"/>
          <w:b/>
        </w:rPr>
      </w:pPr>
      <w:r>
        <w:rPr>
          <w:rFonts w:ascii="Arial" w:hAnsi="Arial" w:cs="Arial"/>
          <w:b/>
        </w:rPr>
        <w:t xml:space="preserve">Objeto </w:t>
      </w:r>
      <w:r w:rsidR="002460F2" w:rsidRPr="002460F2">
        <w:rPr>
          <w:rFonts w:ascii="Arial" w:hAnsi="Arial" w:cs="Arial"/>
          <w:b/>
        </w:rPr>
        <w:t>del proyecto</w:t>
      </w:r>
      <w:r>
        <w:rPr>
          <w:rFonts w:ascii="Arial" w:hAnsi="Arial" w:cs="Arial"/>
          <w:b/>
        </w:rPr>
        <w:t xml:space="preserve"> de ley</w:t>
      </w:r>
    </w:p>
    <w:p w:rsidR="00DF2A10" w:rsidRDefault="00DF2A10" w:rsidP="00DF2A10">
      <w:pPr>
        <w:spacing w:before="120" w:after="120" w:line="360" w:lineRule="auto"/>
        <w:jc w:val="both"/>
        <w:rPr>
          <w:rFonts w:ascii="Arial" w:eastAsia="Arial Unicode MS" w:hAnsi="Arial" w:cs="Arial"/>
          <w:bCs/>
          <w:sz w:val="24"/>
          <w:szCs w:val="23"/>
          <w:shd w:val="clear" w:color="auto" w:fill="FFFFFF"/>
          <w:lang w:val="es-ES_tradnl" w:eastAsia="es-CO"/>
        </w:rPr>
      </w:pPr>
      <w:r w:rsidRPr="00DF2A10">
        <w:rPr>
          <w:rFonts w:ascii="Arial" w:eastAsia="Arial Unicode MS" w:hAnsi="Arial" w:cs="Arial"/>
          <w:bCs/>
          <w:sz w:val="24"/>
          <w:szCs w:val="23"/>
          <w:shd w:val="clear" w:color="auto" w:fill="FFFFFF"/>
          <w:lang w:val="es-ES_tradnl" w:eastAsia="es-ES"/>
        </w:rPr>
        <w:t xml:space="preserve">El presente proyecto de ley busca establecer medidas de salud pública para </w:t>
      </w:r>
      <w:r>
        <w:rPr>
          <w:rFonts w:ascii="Arial" w:eastAsia="Arial Unicode MS" w:hAnsi="Arial" w:cs="Arial"/>
          <w:bCs/>
          <w:sz w:val="24"/>
          <w:szCs w:val="23"/>
          <w:shd w:val="clear" w:color="auto" w:fill="FFFFFF"/>
          <w:lang w:val="es-ES_tradnl" w:eastAsia="es-ES"/>
        </w:rPr>
        <w:t>la prevención de</w:t>
      </w:r>
      <w:r w:rsidR="008161CA">
        <w:rPr>
          <w:rFonts w:ascii="Arial" w:eastAsia="Arial Unicode MS" w:hAnsi="Arial" w:cs="Arial"/>
          <w:bCs/>
          <w:sz w:val="24"/>
          <w:szCs w:val="23"/>
          <w:shd w:val="clear" w:color="auto" w:fill="FFFFFF"/>
          <w:lang w:val="es-ES_tradnl" w:eastAsia="es-ES"/>
        </w:rPr>
        <w:t>l</w:t>
      </w:r>
      <w:r>
        <w:rPr>
          <w:rFonts w:ascii="Arial" w:eastAsia="Arial Unicode MS" w:hAnsi="Arial" w:cs="Arial"/>
          <w:bCs/>
          <w:sz w:val="24"/>
          <w:szCs w:val="23"/>
          <w:shd w:val="clear" w:color="auto" w:fill="FFFFFF"/>
          <w:lang w:val="es-ES_tradnl" w:eastAsia="es-ES"/>
        </w:rPr>
        <w:t xml:space="preserve"> </w:t>
      </w:r>
      <w:r w:rsidR="008161CA" w:rsidRPr="00DF2A10">
        <w:rPr>
          <w:rFonts w:ascii="Arial" w:eastAsia="Arial Unicode MS" w:hAnsi="Arial" w:cs="Arial"/>
          <w:bCs/>
          <w:sz w:val="24"/>
          <w:szCs w:val="23"/>
          <w:shd w:val="clear" w:color="auto" w:fill="FFFFFF"/>
          <w:lang w:val="es-ES_tradnl" w:eastAsia="es-ES"/>
        </w:rPr>
        <w:t>consumo nocivo</w:t>
      </w:r>
      <w:r w:rsidR="008161CA">
        <w:rPr>
          <w:rFonts w:ascii="Arial" w:eastAsia="Arial Unicode MS" w:hAnsi="Arial" w:cs="Arial"/>
          <w:bCs/>
          <w:sz w:val="24"/>
          <w:szCs w:val="23"/>
          <w:shd w:val="clear" w:color="auto" w:fill="FFFFFF"/>
          <w:lang w:val="es-ES_tradnl" w:eastAsia="es-ES"/>
        </w:rPr>
        <w:t xml:space="preserve"> de medicamentos</w:t>
      </w:r>
      <w:r w:rsidRPr="00DF2A10">
        <w:rPr>
          <w:rFonts w:ascii="Arial" w:eastAsia="Arial Unicode MS" w:hAnsi="Arial" w:cs="Arial"/>
          <w:bCs/>
          <w:sz w:val="24"/>
          <w:szCs w:val="23"/>
          <w:shd w:val="clear" w:color="auto" w:fill="FFFFFF"/>
          <w:lang w:val="es-ES_tradnl" w:eastAsia="es-ES"/>
        </w:rPr>
        <w:t xml:space="preserve">, en lo referente a información para </w:t>
      </w:r>
      <w:r>
        <w:rPr>
          <w:rFonts w:ascii="Arial" w:eastAsia="Arial Unicode MS" w:hAnsi="Arial" w:cs="Arial"/>
          <w:bCs/>
          <w:sz w:val="24"/>
          <w:szCs w:val="23"/>
          <w:shd w:val="clear" w:color="auto" w:fill="FFFFFF"/>
          <w:lang w:val="es-ES_tradnl" w:eastAsia="es-ES"/>
        </w:rPr>
        <w:t>el</w:t>
      </w:r>
      <w:r w:rsidRPr="00DF2A10">
        <w:rPr>
          <w:rFonts w:ascii="Arial" w:eastAsia="Arial Unicode MS" w:hAnsi="Arial" w:cs="Arial"/>
          <w:bCs/>
          <w:sz w:val="24"/>
          <w:szCs w:val="23"/>
          <w:shd w:val="clear" w:color="auto" w:fill="FFFFFF"/>
          <w:lang w:val="es-ES_tradnl" w:eastAsia="es-ES"/>
        </w:rPr>
        <w:t xml:space="preserve"> etiquetado de </w:t>
      </w:r>
      <w:r>
        <w:rPr>
          <w:rFonts w:ascii="Arial" w:eastAsia="Arial Unicode MS" w:hAnsi="Arial" w:cs="Arial"/>
          <w:bCs/>
          <w:sz w:val="24"/>
          <w:szCs w:val="23"/>
          <w:shd w:val="clear" w:color="auto" w:fill="FFFFFF"/>
          <w:lang w:val="es-ES_tradnl" w:eastAsia="es-ES"/>
        </w:rPr>
        <w:t>medicamentos de venta libre</w:t>
      </w:r>
      <w:r w:rsidRPr="00DF2A10">
        <w:rPr>
          <w:rFonts w:ascii="Arial" w:eastAsia="Arial Unicode MS" w:hAnsi="Arial" w:cs="Arial"/>
          <w:bCs/>
          <w:sz w:val="24"/>
          <w:szCs w:val="23"/>
          <w:shd w:val="clear" w:color="auto" w:fill="FFFFFF"/>
          <w:lang w:val="es-ES_tradnl" w:eastAsia="es-ES"/>
        </w:rPr>
        <w:t xml:space="preserve">, amplia divulgación de información en salud pública, prevención a través de la publicidad de </w:t>
      </w:r>
      <w:r>
        <w:rPr>
          <w:rFonts w:ascii="Arial" w:eastAsia="Arial Unicode MS" w:hAnsi="Arial" w:cs="Arial"/>
          <w:bCs/>
          <w:sz w:val="24"/>
          <w:szCs w:val="23"/>
          <w:shd w:val="clear" w:color="auto" w:fill="FFFFFF"/>
          <w:lang w:val="es-ES_tradnl" w:eastAsia="es-ES"/>
        </w:rPr>
        <w:t>medicamentos de venta libre</w:t>
      </w:r>
      <w:r w:rsidRPr="00DF2A10">
        <w:rPr>
          <w:rFonts w:ascii="Arial" w:eastAsia="Arial Unicode MS" w:hAnsi="Arial" w:cs="Arial"/>
          <w:bCs/>
          <w:sz w:val="24"/>
          <w:szCs w:val="23"/>
          <w:shd w:val="clear" w:color="auto" w:fill="FFFFFF"/>
          <w:lang w:val="es-ES_tradnl" w:eastAsia="es-ES"/>
        </w:rPr>
        <w:t xml:space="preserve"> y fortalecimiento de la participación ciudadana; </w:t>
      </w:r>
      <w:r w:rsidR="00DC4551">
        <w:rPr>
          <w:rFonts w:ascii="Arial" w:eastAsia="Arial Unicode MS" w:hAnsi="Arial" w:cs="Arial"/>
          <w:bCs/>
          <w:sz w:val="24"/>
          <w:szCs w:val="23"/>
          <w:shd w:val="clear" w:color="auto" w:fill="FFFFFF"/>
          <w:lang w:val="es-ES_tradnl" w:eastAsia="es-ES"/>
        </w:rPr>
        <w:t>fortaleciendo</w:t>
      </w:r>
      <w:r w:rsidRPr="00DF2A10">
        <w:rPr>
          <w:rFonts w:ascii="Arial" w:eastAsia="Arial Unicode MS" w:hAnsi="Arial" w:cs="Arial"/>
          <w:bCs/>
          <w:sz w:val="24"/>
          <w:szCs w:val="23"/>
          <w:shd w:val="clear" w:color="auto" w:fill="FFFFFF"/>
          <w:lang w:val="es-ES_tradnl" w:eastAsia="es-ES"/>
        </w:rPr>
        <w:t xml:space="preserve"> la promoción de entornos de vida saludable, </w:t>
      </w:r>
      <w:r w:rsidR="00DC4551">
        <w:rPr>
          <w:rFonts w:ascii="Arial" w:eastAsia="Arial Unicode MS" w:hAnsi="Arial" w:cs="Arial"/>
          <w:bCs/>
          <w:sz w:val="24"/>
          <w:szCs w:val="23"/>
          <w:shd w:val="clear" w:color="auto" w:fill="FFFFFF"/>
          <w:lang w:val="es-ES_tradnl" w:eastAsia="es-ES"/>
        </w:rPr>
        <w:t xml:space="preserve">brindando </w:t>
      </w:r>
      <w:r w:rsidRPr="00DF2A10">
        <w:rPr>
          <w:rFonts w:ascii="Arial" w:eastAsia="Arial Unicode MS" w:hAnsi="Arial" w:cs="Arial"/>
          <w:bCs/>
          <w:sz w:val="24"/>
          <w:szCs w:val="23"/>
          <w:shd w:val="clear" w:color="auto" w:fill="FFFFFF"/>
          <w:lang w:val="es-ES_tradnl" w:eastAsia="es-ES"/>
        </w:rPr>
        <w:t xml:space="preserve">garantías de acceso a la información, </w:t>
      </w:r>
      <w:r w:rsidR="00DC4551">
        <w:rPr>
          <w:rFonts w:ascii="Arial" w:eastAsia="Arial Unicode MS" w:hAnsi="Arial" w:cs="Arial"/>
          <w:bCs/>
          <w:sz w:val="24"/>
          <w:szCs w:val="23"/>
          <w:shd w:val="clear" w:color="auto" w:fill="FFFFFF"/>
          <w:lang w:val="es-ES_tradnl" w:eastAsia="es-ES"/>
        </w:rPr>
        <w:t xml:space="preserve">el </w:t>
      </w:r>
      <w:r w:rsidRPr="00DF2A10">
        <w:rPr>
          <w:rFonts w:ascii="Arial" w:eastAsia="Arial Unicode MS" w:hAnsi="Arial" w:cs="Arial"/>
          <w:bCs/>
          <w:sz w:val="24"/>
          <w:szCs w:val="23"/>
          <w:shd w:val="clear" w:color="auto" w:fill="FFFFFF"/>
          <w:lang w:val="es-ES_tradnl" w:eastAsia="es-ES"/>
        </w:rPr>
        <w:t xml:space="preserve">fomento de las acciones afirmativas para el autocuidado de la salud y la vida, la disminución de la morbimortalidad y la prevención de enfermedades derivadas del consumo </w:t>
      </w:r>
      <w:r w:rsidR="008161CA">
        <w:rPr>
          <w:rFonts w:ascii="Arial" w:eastAsia="Arial Unicode MS" w:hAnsi="Arial" w:cs="Arial"/>
          <w:bCs/>
          <w:sz w:val="24"/>
          <w:szCs w:val="23"/>
          <w:shd w:val="clear" w:color="auto" w:fill="FFFFFF"/>
          <w:lang w:val="es-ES_tradnl" w:eastAsia="es-ES"/>
        </w:rPr>
        <w:t xml:space="preserve">indiscriminado </w:t>
      </w:r>
      <w:r w:rsidRPr="00DF2A10">
        <w:rPr>
          <w:rFonts w:ascii="Arial" w:eastAsia="Arial Unicode MS" w:hAnsi="Arial" w:cs="Arial"/>
          <w:bCs/>
          <w:sz w:val="24"/>
          <w:szCs w:val="23"/>
          <w:shd w:val="clear" w:color="auto" w:fill="FFFFFF"/>
          <w:lang w:val="es-ES_tradnl" w:eastAsia="es-ES"/>
        </w:rPr>
        <w:t xml:space="preserve">de </w:t>
      </w:r>
      <w:r w:rsidR="008161CA">
        <w:rPr>
          <w:rFonts w:ascii="Arial" w:eastAsia="Arial Unicode MS" w:hAnsi="Arial" w:cs="Arial"/>
          <w:bCs/>
          <w:sz w:val="24"/>
          <w:szCs w:val="23"/>
          <w:shd w:val="clear" w:color="auto" w:fill="FFFFFF"/>
          <w:lang w:val="es-ES_tradnl" w:eastAsia="es-ES"/>
        </w:rPr>
        <w:t>medicamentos de venta libre y antibióticos</w:t>
      </w:r>
      <w:r w:rsidRPr="00DF2A10">
        <w:rPr>
          <w:rFonts w:ascii="Arial" w:eastAsia="Arial Unicode MS" w:hAnsi="Arial" w:cs="Arial"/>
          <w:bCs/>
          <w:sz w:val="24"/>
          <w:szCs w:val="23"/>
          <w:shd w:val="clear" w:color="auto" w:fill="FFFFFF"/>
          <w:lang w:val="es-ES_tradnl" w:eastAsia="es-CO"/>
        </w:rPr>
        <w:t>.</w:t>
      </w:r>
    </w:p>
    <w:p w:rsidR="00F0246B" w:rsidRPr="00DF2A10" w:rsidRDefault="00F0246B" w:rsidP="00DF2A10">
      <w:pPr>
        <w:spacing w:before="120" w:after="120" w:line="360" w:lineRule="auto"/>
        <w:jc w:val="both"/>
        <w:rPr>
          <w:rFonts w:ascii="Arial" w:eastAsia="Arial Unicode MS" w:hAnsi="Arial" w:cs="Arial"/>
          <w:bCs/>
          <w:sz w:val="24"/>
          <w:szCs w:val="23"/>
          <w:shd w:val="clear" w:color="auto" w:fill="FFFFFF"/>
          <w:lang w:val="es-ES_tradnl" w:eastAsia="es-CO"/>
        </w:rPr>
      </w:pPr>
      <w:r>
        <w:rPr>
          <w:rFonts w:ascii="Arial" w:eastAsia="Arial Unicode MS" w:hAnsi="Arial" w:cs="Arial"/>
          <w:bCs/>
          <w:sz w:val="24"/>
          <w:szCs w:val="23"/>
          <w:shd w:val="clear" w:color="auto" w:fill="FFFFFF"/>
          <w:lang w:val="es-ES_tradnl" w:eastAsia="es-CO"/>
        </w:rPr>
        <w:t xml:space="preserve">Está inspirado en el proyecto de ley </w:t>
      </w:r>
      <w:r w:rsidR="00305774">
        <w:rPr>
          <w:rFonts w:ascii="Arial" w:eastAsia="Arial Unicode MS" w:hAnsi="Arial" w:cs="Arial"/>
          <w:bCs/>
          <w:sz w:val="24"/>
          <w:szCs w:val="23"/>
          <w:shd w:val="clear" w:color="auto" w:fill="FFFFFF"/>
          <w:lang w:val="es-ES_tradnl" w:eastAsia="es-CO"/>
        </w:rPr>
        <w:t xml:space="preserve">214 de la Honorable Cámara de Representantes </w:t>
      </w:r>
      <w:r w:rsidR="00305774" w:rsidRPr="00305774">
        <w:rPr>
          <w:rFonts w:ascii="Arial" w:eastAsia="Arial Unicode MS" w:hAnsi="Arial" w:cs="Arial"/>
          <w:bCs/>
          <w:sz w:val="24"/>
          <w:szCs w:val="23"/>
          <w:shd w:val="clear" w:color="auto" w:fill="FFFFFF"/>
          <w:lang w:val="es-ES_tradnl" w:eastAsia="es-CO"/>
        </w:rPr>
        <w:t>"Por medio de la cual se promueve el acceso a información necesaria para fomentar entornos alimentarios saludables y prevenir enfermedades no transmisibles y se adoptan otras disposiciones</w:t>
      </w:r>
      <w:r w:rsidR="00305774">
        <w:rPr>
          <w:rFonts w:ascii="Arial" w:eastAsia="Arial Unicode MS" w:hAnsi="Arial" w:cs="Arial"/>
          <w:bCs/>
          <w:sz w:val="24"/>
          <w:szCs w:val="23"/>
          <w:shd w:val="clear" w:color="auto" w:fill="FFFFFF"/>
          <w:lang w:val="es-ES_tradnl" w:eastAsia="es-CO"/>
        </w:rPr>
        <w:t>”</w:t>
      </w:r>
      <w:r w:rsidR="00305774">
        <w:rPr>
          <w:rStyle w:val="Refdenotaalpie"/>
          <w:rFonts w:ascii="Arial" w:eastAsia="Arial Unicode MS" w:hAnsi="Arial" w:cs="Arial"/>
          <w:bCs/>
          <w:sz w:val="24"/>
          <w:szCs w:val="23"/>
          <w:shd w:val="clear" w:color="auto" w:fill="FFFFFF"/>
          <w:lang w:val="es-ES_tradnl" w:eastAsia="es-CO"/>
        </w:rPr>
        <w:footnoteReference w:id="1"/>
      </w:r>
      <w:r w:rsidR="00305774">
        <w:rPr>
          <w:rFonts w:ascii="Arial" w:eastAsia="Arial Unicode MS" w:hAnsi="Arial" w:cs="Arial"/>
          <w:bCs/>
          <w:sz w:val="24"/>
          <w:szCs w:val="23"/>
          <w:shd w:val="clear" w:color="auto" w:fill="FFFFFF"/>
          <w:lang w:val="es-ES_tradnl" w:eastAsia="es-CO"/>
        </w:rPr>
        <w:t xml:space="preserve"> elaborado con la participación de organizaciones sociales como FIAN, Red </w:t>
      </w:r>
      <w:proofErr w:type="spellStart"/>
      <w:r w:rsidR="00305774">
        <w:rPr>
          <w:rFonts w:ascii="Arial" w:eastAsia="Arial Unicode MS" w:hAnsi="Arial" w:cs="Arial"/>
          <w:bCs/>
          <w:sz w:val="24"/>
          <w:szCs w:val="23"/>
          <w:shd w:val="clear" w:color="auto" w:fill="FFFFFF"/>
          <w:lang w:val="es-ES_tradnl" w:eastAsia="es-CO"/>
        </w:rPr>
        <w:t>PaPaz</w:t>
      </w:r>
      <w:proofErr w:type="spellEnd"/>
      <w:r w:rsidR="00DC4551">
        <w:rPr>
          <w:rFonts w:ascii="Arial" w:eastAsia="Arial Unicode MS" w:hAnsi="Arial" w:cs="Arial"/>
          <w:bCs/>
          <w:sz w:val="24"/>
          <w:szCs w:val="23"/>
          <w:shd w:val="clear" w:color="auto" w:fill="FFFFFF"/>
          <w:lang w:val="es-ES_tradnl" w:eastAsia="es-CO"/>
        </w:rPr>
        <w:t xml:space="preserve"> y Educar Consumidores, entre otros.</w:t>
      </w:r>
    </w:p>
    <w:p w:rsidR="00C13F3E" w:rsidRPr="008161CA" w:rsidRDefault="008161CA" w:rsidP="008161CA">
      <w:pPr>
        <w:pStyle w:val="NormalWeb"/>
        <w:numPr>
          <w:ilvl w:val="0"/>
          <w:numId w:val="2"/>
        </w:numPr>
        <w:shd w:val="clear" w:color="auto" w:fill="FFFFFF"/>
        <w:spacing w:line="360" w:lineRule="auto"/>
        <w:ind w:left="426" w:hanging="66"/>
        <w:jc w:val="both"/>
        <w:rPr>
          <w:rFonts w:ascii="Arial" w:hAnsi="Arial" w:cs="Arial"/>
          <w:b/>
        </w:rPr>
      </w:pPr>
      <w:r>
        <w:rPr>
          <w:rFonts w:ascii="Arial" w:hAnsi="Arial" w:cs="Arial"/>
          <w:b/>
        </w:rPr>
        <w:t>Justificación</w:t>
      </w:r>
    </w:p>
    <w:p w:rsidR="008161CA" w:rsidRPr="008161CA" w:rsidRDefault="008161CA" w:rsidP="00424A20">
      <w:pPr>
        <w:spacing w:before="120" w:after="120" w:line="360" w:lineRule="auto"/>
        <w:jc w:val="both"/>
        <w:rPr>
          <w:rFonts w:ascii="Arial" w:eastAsia="Arial Unicode MS" w:hAnsi="Arial" w:cs="Arial"/>
          <w:sz w:val="24"/>
          <w:szCs w:val="23"/>
          <w:lang w:val="es-ES_tradnl" w:eastAsia="es-ES"/>
        </w:rPr>
      </w:pPr>
      <w:r w:rsidRPr="008161CA">
        <w:rPr>
          <w:rFonts w:ascii="Arial" w:eastAsia="Arial Unicode MS" w:hAnsi="Arial" w:cs="Arial"/>
          <w:sz w:val="24"/>
          <w:szCs w:val="23"/>
          <w:lang w:val="es-ES_tradnl" w:eastAsia="es-ES"/>
        </w:rPr>
        <w:t xml:space="preserve">La salud es un derecho fundamental autónomo, que </w:t>
      </w:r>
      <w:r>
        <w:rPr>
          <w:rFonts w:ascii="Arial" w:eastAsia="Arial Unicode MS" w:hAnsi="Arial" w:cs="Arial"/>
          <w:sz w:val="24"/>
          <w:szCs w:val="23"/>
          <w:lang w:val="es-ES_tradnl" w:eastAsia="es-ES"/>
        </w:rPr>
        <w:t>abarca</w:t>
      </w:r>
      <w:r w:rsidRPr="008161CA">
        <w:rPr>
          <w:rFonts w:ascii="Arial" w:eastAsia="Arial Unicode MS" w:hAnsi="Arial" w:cs="Arial"/>
          <w:sz w:val="24"/>
          <w:szCs w:val="23"/>
          <w:lang w:val="es-ES_tradnl" w:eastAsia="es-ES"/>
        </w:rPr>
        <w:t xml:space="preserve"> las acciones colectivas basadas en la salud pública, </w:t>
      </w:r>
      <w:r>
        <w:rPr>
          <w:rFonts w:ascii="Arial" w:eastAsia="Arial Unicode MS" w:hAnsi="Arial" w:cs="Arial"/>
          <w:sz w:val="24"/>
          <w:szCs w:val="23"/>
          <w:lang w:val="es-ES_tradnl" w:eastAsia="es-ES"/>
        </w:rPr>
        <w:t>incluyendo</w:t>
      </w:r>
      <w:r w:rsidRPr="008161CA">
        <w:rPr>
          <w:rFonts w:ascii="Arial" w:eastAsia="Arial Unicode MS" w:hAnsi="Arial" w:cs="Arial"/>
          <w:sz w:val="24"/>
          <w:szCs w:val="23"/>
          <w:lang w:val="es-ES_tradnl" w:eastAsia="es-ES"/>
        </w:rPr>
        <w:t xml:space="preserve"> acciones individuales relacionadas con el acceso a servicios de salud. El derecho a la salud se encuentra consagrado en la Constitución Política de Colombia, en el artículo 49:</w:t>
      </w:r>
    </w:p>
    <w:p w:rsidR="008161CA" w:rsidRPr="008161CA" w:rsidRDefault="008161CA" w:rsidP="008161CA">
      <w:pPr>
        <w:pStyle w:val="Prrafodelista"/>
        <w:shd w:val="clear" w:color="auto" w:fill="FFFFFF"/>
        <w:spacing w:before="120" w:after="120" w:line="276" w:lineRule="auto"/>
        <w:ind w:left="284" w:right="474" w:hanging="11"/>
        <w:jc w:val="both"/>
        <w:rPr>
          <w:rFonts w:ascii="Arial" w:eastAsia="Arial Unicode MS" w:hAnsi="Arial" w:cs="Arial"/>
          <w:i/>
          <w:sz w:val="24"/>
          <w:szCs w:val="23"/>
          <w:lang w:val="es-ES_tradnl" w:eastAsia="es-ES"/>
        </w:rPr>
      </w:pPr>
      <w:r w:rsidRPr="008161CA">
        <w:rPr>
          <w:rFonts w:ascii="Arial" w:eastAsia="Arial Unicode MS" w:hAnsi="Arial" w:cs="Arial"/>
          <w:i/>
          <w:sz w:val="24"/>
          <w:szCs w:val="23"/>
          <w:lang w:val="es-ES_tradnl" w:eastAsia="es-ES"/>
        </w:rPr>
        <w:t>“</w:t>
      </w:r>
      <w:r w:rsidRPr="008161CA">
        <w:rPr>
          <w:rFonts w:ascii="Arial" w:eastAsia="Arial Unicode MS" w:hAnsi="Arial" w:cs="Arial"/>
          <w:b/>
          <w:bCs/>
          <w:i/>
          <w:sz w:val="24"/>
          <w:szCs w:val="23"/>
          <w:lang w:val="es-ES_tradnl" w:eastAsia="es-ES"/>
        </w:rPr>
        <w:t>ARTÍCULO 49.</w:t>
      </w:r>
      <w:r w:rsidRPr="008161CA">
        <w:rPr>
          <w:rFonts w:ascii="Arial" w:eastAsia="Arial Unicode MS" w:hAnsi="Arial" w:cs="Arial"/>
          <w:i/>
          <w:sz w:val="24"/>
          <w:szCs w:val="23"/>
          <w:lang w:val="es-ES_tradnl" w:eastAsia="es-ES"/>
        </w:rPr>
        <w:t> La atención de la salud y el saneamiento ambiental son servicios públicos a cargo del Estado. Se garantiza a todas las personas el acceso a los servicios de promoción, protección y recuperación de la salud.</w:t>
      </w:r>
    </w:p>
    <w:p w:rsidR="008161CA" w:rsidRPr="008161CA" w:rsidRDefault="008161CA" w:rsidP="008161CA">
      <w:pPr>
        <w:pStyle w:val="Prrafodelista"/>
        <w:shd w:val="clear" w:color="auto" w:fill="FFFFFF"/>
        <w:spacing w:before="120" w:after="120" w:line="276" w:lineRule="auto"/>
        <w:ind w:left="284" w:right="474" w:hanging="11"/>
        <w:jc w:val="both"/>
        <w:rPr>
          <w:rFonts w:ascii="Arial" w:eastAsia="Arial Unicode MS" w:hAnsi="Arial" w:cs="Arial"/>
          <w:i/>
          <w:sz w:val="24"/>
          <w:szCs w:val="23"/>
          <w:lang w:val="es-ES_tradnl" w:eastAsia="es-ES"/>
        </w:rPr>
      </w:pPr>
      <w:r w:rsidRPr="008161CA">
        <w:rPr>
          <w:rFonts w:ascii="Arial" w:eastAsia="Arial Unicode MS" w:hAnsi="Arial" w:cs="Arial"/>
          <w:i/>
          <w:sz w:val="24"/>
          <w:szCs w:val="23"/>
          <w:lang w:val="es-ES_tradnl" w:eastAsia="es-ES"/>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8161CA" w:rsidRPr="008161CA" w:rsidRDefault="008161CA" w:rsidP="008161CA">
      <w:pPr>
        <w:pStyle w:val="Prrafodelista"/>
        <w:shd w:val="clear" w:color="auto" w:fill="FFFFFF"/>
        <w:spacing w:before="120" w:after="120" w:line="276" w:lineRule="auto"/>
        <w:ind w:left="284" w:right="474" w:hanging="11"/>
        <w:jc w:val="both"/>
        <w:rPr>
          <w:rFonts w:ascii="Arial" w:eastAsia="Arial Unicode MS" w:hAnsi="Arial" w:cs="Arial"/>
          <w:i/>
          <w:sz w:val="24"/>
          <w:szCs w:val="23"/>
          <w:lang w:val="es-ES_tradnl" w:eastAsia="es-ES"/>
        </w:rPr>
      </w:pPr>
      <w:r w:rsidRPr="008161CA">
        <w:rPr>
          <w:rFonts w:ascii="Arial" w:eastAsia="Arial Unicode MS" w:hAnsi="Arial" w:cs="Arial"/>
          <w:i/>
          <w:sz w:val="24"/>
          <w:szCs w:val="23"/>
          <w:lang w:val="es-ES_tradnl" w:eastAsia="es-ES"/>
        </w:rPr>
        <w:t>Los servicios de salud se organizarán en forma descentralizada, por niveles de atención y con participación de la comunidad.</w:t>
      </w:r>
    </w:p>
    <w:p w:rsidR="008161CA" w:rsidRPr="008161CA" w:rsidRDefault="008161CA" w:rsidP="008161CA">
      <w:pPr>
        <w:pStyle w:val="Prrafodelista"/>
        <w:shd w:val="clear" w:color="auto" w:fill="FFFFFF"/>
        <w:spacing w:before="120" w:after="120" w:line="276" w:lineRule="auto"/>
        <w:ind w:left="284" w:right="474" w:hanging="11"/>
        <w:jc w:val="both"/>
        <w:rPr>
          <w:rFonts w:ascii="Arial" w:eastAsia="Arial Unicode MS" w:hAnsi="Arial" w:cs="Arial"/>
          <w:i/>
          <w:sz w:val="24"/>
          <w:szCs w:val="23"/>
          <w:lang w:val="es-ES_tradnl" w:eastAsia="es-ES"/>
        </w:rPr>
      </w:pPr>
      <w:r w:rsidRPr="008161CA">
        <w:rPr>
          <w:rFonts w:ascii="Arial" w:eastAsia="Arial Unicode MS" w:hAnsi="Arial" w:cs="Arial"/>
          <w:i/>
          <w:sz w:val="24"/>
          <w:szCs w:val="23"/>
          <w:lang w:val="es-ES_tradnl" w:eastAsia="es-ES"/>
        </w:rPr>
        <w:t>La ley señalará los términos en los cuales la atención básica para todos los habitantes será gratuita y obligatoria.</w:t>
      </w:r>
    </w:p>
    <w:p w:rsidR="008161CA" w:rsidRPr="008161CA" w:rsidRDefault="008161CA" w:rsidP="008161CA">
      <w:pPr>
        <w:pStyle w:val="Prrafodelista"/>
        <w:shd w:val="clear" w:color="auto" w:fill="FFFFFF"/>
        <w:spacing w:before="120" w:after="120" w:line="276" w:lineRule="auto"/>
        <w:jc w:val="both"/>
        <w:rPr>
          <w:rFonts w:ascii="Arial" w:eastAsia="Arial Unicode MS" w:hAnsi="Arial" w:cs="Arial"/>
          <w:i/>
          <w:sz w:val="24"/>
          <w:szCs w:val="23"/>
          <w:lang w:val="es-ES_tradnl" w:eastAsia="es-ES"/>
        </w:rPr>
      </w:pPr>
      <w:r w:rsidRPr="008161CA">
        <w:rPr>
          <w:rFonts w:ascii="Arial" w:eastAsia="Arial Unicode MS" w:hAnsi="Arial" w:cs="Arial"/>
          <w:i/>
          <w:sz w:val="24"/>
          <w:szCs w:val="23"/>
          <w:lang w:val="es-ES_tradnl" w:eastAsia="es-ES"/>
        </w:rPr>
        <w:t>Toda persona tiene el deber de procurar el cuidado integral de su salud y la de su comunidad”.</w:t>
      </w:r>
    </w:p>
    <w:p w:rsidR="008161CA" w:rsidRPr="003A31F9" w:rsidRDefault="008161CA" w:rsidP="00424A20">
      <w:pPr>
        <w:shd w:val="clear" w:color="auto" w:fill="FFFFFF"/>
        <w:spacing w:before="120" w:after="120" w:line="360" w:lineRule="auto"/>
        <w:jc w:val="both"/>
        <w:rPr>
          <w:rFonts w:ascii="Arial" w:eastAsia="Arial Unicode MS" w:hAnsi="Arial" w:cs="Arial"/>
          <w:b/>
          <w:bCs/>
          <w:i/>
          <w:sz w:val="24"/>
          <w:szCs w:val="23"/>
          <w:lang w:val="es-ES_tradnl" w:eastAsia="es-ES"/>
        </w:rPr>
      </w:pPr>
      <w:r w:rsidRPr="003A31F9">
        <w:rPr>
          <w:rFonts w:ascii="Arial" w:eastAsia="Arial Unicode MS" w:hAnsi="Arial" w:cs="Arial"/>
          <w:sz w:val="24"/>
          <w:szCs w:val="23"/>
          <w:bdr w:val="none" w:sz="0" w:space="0" w:color="auto" w:frame="1"/>
          <w:lang w:val="es-ES_tradnl" w:eastAsia="es-ES"/>
        </w:rPr>
        <w:t>De igual forma, la Constitución consagra dentro de su capítulo III DE LOS DERECHOS COLECTIVOS Y DEL AMBIENTE lo siguiente:</w:t>
      </w:r>
    </w:p>
    <w:p w:rsidR="008161CA" w:rsidRPr="003A31F9" w:rsidRDefault="008161CA" w:rsidP="008161CA">
      <w:pPr>
        <w:pStyle w:val="Prrafodelista"/>
        <w:shd w:val="clear" w:color="auto" w:fill="FFFFFF"/>
        <w:spacing w:before="120" w:after="120" w:line="276" w:lineRule="auto"/>
        <w:jc w:val="both"/>
        <w:rPr>
          <w:rFonts w:ascii="Arial" w:eastAsia="Arial Unicode MS" w:hAnsi="Arial" w:cs="Arial"/>
          <w:i/>
          <w:sz w:val="24"/>
          <w:szCs w:val="23"/>
          <w:lang w:val="es-ES_tradnl" w:eastAsia="es-ES"/>
        </w:rPr>
      </w:pPr>
      <w:r w:rsidRPr="003A31F9">
        <w:rPr>
          <w:rFonts w:ascii="Arial" w:eastAsia="Arial Unicode MS" w:hAnsi="Arial" w:cs="Arial"/>
          <w:b/>
          <w:bCs/>
          <w:i/>
          <w:sz w:val="24"/>
          <w:szCs w:val="23"/>
          <w:lang w:val="es-ES_tradnl" w:eastAsia="es-ES"/>
        </w:rPr>
        <w:t>“ARTICULO </w:t>
      </w:r>
      <w:bookmarkStart w:id="5" w:name="BM78"/>
      <w:r w:rsidRPr="003A31F9">
        <w:rPr>
          <w:rFonts w:ascii="Arial" w:eastAsia="Arial Unicode MS" w:hAnsi="Arial" w:cs="Arial"/>
          <w:b/>
          <w:bCs/>
          <w:i/>
          <w:sz w:val="24"/>
          <w:szCs w:val="23"/>
          <w:lang w:val="es-ES_tradnl" w:eastAsia="es-ES"/>
        </w:rPr>
        <w:t> </w:t>
      </w:r>
      <w:bookmarkStart w:id="6" w:name="78"/>
      <w:bookmarkEnd w:id="5"/>
      <w:r w:rsidRPr="003A31F9">
        <w:rPr>
          <w:rFonts w:ascii="Arial" w:eastAsia="Arial Unicode MS" w:hAnsi="Arial" w:cs="Arial"/>
          <w:b/>
          <w:bCs/>
          <w:i/>
          <w:sz w:val="24"/>
          <w:szCs w:val="23"/>
          <w:lang w:val="es-ES_tradnl" w:eastAsia="es-ES"/>
        </w:rPr>
        <w:t> </w:t>
      </w:r>
      <w:bookmarkEnd w:id="6"/>
      <w:r w:rsidRPr="003A31F9">
        <w:rPr>
          <w:rFonts w:ascii="Arial" w:eastAsia="Arial Unicode MS" w:hAnsi="Arial" w:cs="Arial"/>
          <w:b/>
          <w:bCs/>
          <w:i/>
          <w:sz w:val="24"/>
          <w:szCs w:val="23"/>
          <w:lang w:val="es-ES_tradnl" w:eastAsia="es-ES"/>
        </w:rPr>
        <w:t>78. </w:t>
      </w:r>
      <w:r w:rsidRPr="003A31F9">
        <w:rPr>
          <w:rFonts w:ascii="Arial" w:eastAsia="Arial Unicode MS" w:hAnsi="Arial" w:cs="Arial"/>
          <w:i/>
          <w:sz w:val="24"/>
          <w:szCs w:val="23"/>
          <w:lang w:val="es-ES_tradnl" w:eastAsia="es-ES"/>
        </w:rPr>
        <w:t>La ley regulará el control de calidad de bienes y servicios ofrecidos y prestados a la comunidad, así como la información que debe suministrarse al público en su comercialización.</w:t>
      </w:r>
    </w:p>
    <w:p w:rsidR="008161CA" w:rsidRPr="003A31F9" w:rsidRDefault="008161CA" w:rsidP="008161CA">
      <w:pPr>
        <w:pStyle w:val="Prrafodelista"/>
        <w:shd w:val="clear" w:color="auto" w:fill="FFFFFF"/>
        <w:spacing w:before="120" w:after="120" w:line="276" w:lineRule="auto"/>
        <w:jc w:val="both"/>
        <w:rPr>
          <w:rFonts w:ascii="Arial" w:eastAsia="Arial Unicode MS" w:hAnsi="Arial" w:cs="Arial"/>
          <w:i/>
          <w:sz w:val="24"/>
          <w:szCs w:val="23"/>
          <w:lang w:val="es-ES_tradnl" w:eastAsia="es-ES"/>
        </w:rPr>
      </w:pPr>
      <w:r w:rsidRPr="003A31F9">
        <w:rPr>
          <w:rFonts w:ascii="Arial" w:eastAsia="Arial Unicode MS" w:hAnsi="Arial" w:cs="Arial"/>
          <w:i/>
          <w:sz w:val="24"/>
          <w:szCs w:val="23"/>
          <w:lang w:val="es-ES_tradnl" w:eastAsia="es-ES"/>
        </w:rPr>
        <w:t>Serán responsables, de acuerdo con la ley, quienes en la producción y en la comercialización de bienes y servicios, atenten contra la salud, la seguridad y el adecuado aprovisionamiento a consumidores y usuarios.</w:t>
      </w:r>
    </w:p>
    <w:p w:rsidR="008161CA" w:rsidRPr="003A31F9" w:rsidRDefault="008161CA" w:rsidP="008161CA">
      <w:pPr>
        <w:pStyle w:val="Prrafodelista"/>
        <w:shd w:val="clear" w:color="auto" w:fill="FFFFFF"/>
        <w:spacing w:before="120" w:after="120" w:line="276" w:lineRule="auto"/>
        <w:jc w:val="both"/>
        <w:rPr>
          <w:rFonts w:ascii="Arial" w:eastAsia="Arial Unicode MS" w:hAnsi="Arial" w:cs="Arial"/>
          <w:i/>
          <w:sz w:val="24"/>
          <w:szCs w:val="23"/>
          <w:lang w:val="es-ES_tradnl" w:eastAsia="es-ES"/>
        </w:rPr>
      </w:pPr>
      <w:r w:rsidRPr="003A31F9">
        <w:rPr>
          <w:rFonts w:ascii="Arial" w:eastAsia="Arial Unicode MS" w:hAnsi="Arial" w:cs="Arial"/>
          <w:i/>
          <w:sz w:val="24"/>
          <w:szCs w:val="23"/>
          <w:lang w:val="es-ES_tradnl" w:eastAsia="es-ES"/>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rsidR="008161CA" w:rsidRPr="003A31F9" w:rsidRDefault="003A31F9" w:rsidP="00424A20">
      <w:pPr>
        <w:keepNext/>
        <w:keepLines/>
        <w:shd w:val="clear" w:color="auto" w:fill="FFFFFF"/>
        <w:spacing w:before="120" w:after="120" w:line="360" w:lineRule="auto"/>
        <w:ind w:right="51"/>
        <w:jc w:val="both"/>
        <w:textAlignment w:val="baseline"/>
        <w:outlineLvl w:val="4"/>
        <w:rPr>
          <w:rFonts w:ascii="Arial" w:eastAsia="Arial Unicode MS" w:hAnsi="Arial" w:cs="Arial"/>
          <w:b/>
          <w:sz w:val="24"/>
          <w:szCs w:val="23"/>
          <w:bdr w:val="none" w:sz="0" w:space="0" w:color="auto" w:frame="1"/>
          <w:lang w:val="es-ES_tradnl" w:eastAsia="es-ES"/>
        </w:rPr>
      </w:pPr>
      <w:r>
        <w:rPr>
          <w:rFonts w:ascii="Arial" w:eastAsia="Arial Unicode MS" w:hAnsi="Arial" w:cs="Arial"/>
          <w:sz w:val="24"/>
          <w:szCs w:val="23"/>
          <w:bdr w:val="none" w:sz="0" w:space="0" w:color="auto" w:frame="1"/>
          <w:lang w:val="es-ES_tradnl" w:eastAsia="es-ES"/>
        </w:rPr>
        <w:t>Por su parte</w:t>
      </w:r>
      <w:r w:rsidR="008161CA" w:rsidRPr="003A31F9">
        <w:rPr>
          <w:rFonts w:ascii="Arial" w:eastAsia="Arial Unicode MS" w:hAnsi="Arial" w:cs="Arial"/>
          <w:sz w:val="24"/>
          <w:szCs w:val="23"/>
          <w:bdr w:val="none" w:sz="0" w:space="0" w:color="auto" w:frame="1"/>
          <w:lang w:val="es-ES_tradnl" w:eastAsia="es-ES"/>
        </w:rPr>
        <w:t xml:space="preserve">, la Honorable Corte Constitucional en Sentencia T-184 de 2011, </w:t>
      </w:r>
      <w:r>
        <w:rPr>
          <w:rFonts w:ascii="Arial" w:eastAsia="Arial Unicode MS" w:hAnsi="Arial" w:cs="Arial"/>
          <w:sz w:val="24"/>
          <w:szCs w:val="23"/>
          <w:bdr w:val="none" w:sz="0" w:space="0" w:color="auto" w:frame="1"/>
          <w:lang w:val="es-ES_tradnl" w:eastAsia="es-ES"/>
        </w:rPr>
        <w:t xml:space="preserve">ha </w:t>
      </w:r>
      <w:r w:rsidR="008161CA" w:rsidRPr="003A31F9">
        <w:rPr>
          <w:rFonts w:ascii="Arial" w:eastAsia="Arial Unicode MS" w:hAnsi="Arial" w:cs="Arial"/>
          <w:sz w:val="24"/>
          <w:szCs w:val="23"/>
          <w:bdr w:val="none" w:sz="0" w:space="0" w:color="auto" w:frame="1"/>
          <w:lang w:val="es-ES_tradnl" w:eastAsia="es-ES"/>
        </w:rPr>
        <w:t>manifest</w:t>
      </w:r>
      <w:r>
        <w:rPr>
          <w:rFonts w:ascii="Arial" w:eastAsia="Arial Unicode MS" w:hAnsi="Arial" w:cs="Arial"/>
          <w:sz w:val="24"/>
          <w:szCs w:val="23"/>
          <w:bdr w:val="none" w:sz="0" w:space="0" w:color="auto" w:frame="1"/>
          <w:lang w:val="es-ES_tradnl" w:eastAsia="es-ES"/>
        </w:rPr>
        <w:t>ado que:</w:t>
      </w:r>
    </w:p>
    <w:p w:rsidR="008161CA" w:rsidRPr="003A31F9" w:rsidRDefault="008161CA" w:rsidP="008161CA">
      <w:pPr>
        <w:pStyle w:val="Prrafodelista"/>
        <w:shd w:val="clear" w:color="auto" w:fill="FFFFFF"/>
        <w:spacing w:before="120" w:after="120" w:line="276" w:lineRule="auto"/>
        <w:ind w:right="51"/>
        <w:jc w:val="both"/>
        <w:textAlignment w:val="baseline"/>
        <w:rPr>
          <w:rFonts w:ascii="Arial" w:eastAsia="Arial Unicode MS" w:hAnsi="Arial" w:cs="Arial"/>
          <w:sz w:val="24"/>
          <w:szCs w:val="23"/>
          <w:lang w:val="es-ES_tradnl" w:eastAsia="es-ES"/>
        </w:rPr>
      </w:pPr>
      <w:r w:rsidRPr="003A31F9">
        <w:rPr>
          <w:rFonts w:ascii="Arial" w:eastAsia="Arial Unicode MS" w:hAnsi="Arial" w:cs="Arial"/>
          <w:i/>
          <w:iCs/>
          <w:sz w:val="24"/>
          <w:szCs w:val="23"/>
          <w:bdr w:val="none" w:sz="0" w:space="0" w:color="auto" w:frame="1"/>
          <w:lang w:val="es-ES_tradnl" w:eastAsia="es-ES"/>
        </w:rPr>
        <w:t xml:space="preserve">“Esta Corporación ha establecido en su jurisprudencia que la salud es un derecho fundamental. Por tanto, es obligación del Estado y de los particulares comprometidos con la prestación del servicio público de salud, desarrollar un conjunto de tareas, actividades o actuaciones encaminadas a garantizar el debido amparo de este derecho. El derecho fundamental a la salud, ha sido definido como “la facultad que tiene todo ser humano de mantener la normalidad orgánica funcional, tanto física como en el plano de la operatividad mental, y de restablecerse cuando se presente una perturbación en la estabilidad orgánica y funcional de su ser.” Esta concepción responde a la necesidad de abarcar las esferas mentales y corporales de las personas, en </w:t>
      </w:r>
      <w:r w:rsidR="003A31F9" w:rsidRPr="003A31F9">
        <w:rPr>
          <w:rFonts w:ascii="Arial" w:eastAsia="Arial Unicode MS" w:hAnsi="Arial" w:cs="Arial"/>
          <w:i/>
          <w:iCs/>
          <w:sz w:val="24"/>
          <w:szCs w:val="23"/>
          <w:bdr w:val="none" w:sz="0" w:space="0" w:color="auto" w:frame="1"/>
          <w:lang w:val="es-ES_tradnl" w:eastAsia="es-ES"/>
        </w:rPr>
        <w:t>consecuencia,</w:t>
      </w:r>
      <w:r w:rsidRPr="003A31F9">
        <w:rPr>
          <w:rFonts w:ascii="Arial" w:eastAsia="Arial Unicode MS" w:hAnsi="Arial" w:cs="Arial"/>
          <w:i/>
          <w:iCs/>
          <w:sz w:val="24"/>
          <w:szCs w:val="23"/>
          <w:bdr w:val="none" w:sz="0" w:space="0" w:color="auto" w:frame="1"/>
          <w:lang w:val="es-ES_tradnl" w:eastAsia="es-ES"/>
        </w:rPr>
        <w:t xml:space="preserve"> garantizar al individuo una vida en condiciones dignas, teniendo en cuenta que la salud es un derecho indispensable para el ejercicio de las demás garantías fundamentales”.</w:t>
      </w:r>
    </w:p>
    <w:p w:rsidR="008161CA" w:rsidRPr="003A31F9" w:rsidRDefault="003A31F9" w:rsidP="00424A20">
      <w:pPr>
        <w:shd w:val="clear" w:color="auto" w:fill="FFFFFF"/>
        <w:spacing w:before="120" w:after="120" w:line="360" w:lineRule="auto"/>
        <w:jc w:val="both"/>
        <w:textAlignment w:val="baseline"/>
        <w:rPr>
          <w:rFonts w:ascii="Arial" w:eastAsia="Arial Unicode MS" w:hAnsi="Arial" w:cs="Arial"/>
          <w:sz w:val="24"/>
          <w:szCs w:val="23"/>
          <w:lang w:val="es-ES_tradnl" w:eastAsia="es-ES"/>
        </w:rPr>
      </w:pPr>
      <w:r>
        <w:rPr>
          <w:rFonts w:ascii="Arial" w:eastAsia="Arial Unicode MS" w:hAnsi="Arial" w:cs="Arial"/>
          <w:sz w:val="24"/>
          <w:szCs w:val="23"/>
          <w:lang w:val="es-ES_tradnl" w:eastAsia="es-ES"/>
        </w:rPr>
        <w:t>No obstante</w:t>
      </w:r>
      <w:r w:rsidR="008161CA" w:rsidRPr="003A31F9">
        <w:rPr>
          <w:rFonts w:ascii="Arial" w:eastAsia="Arial Unicode MS" w:hAnsi="Arial" w:cs="Arial"/>
          <w:sz w:val="24"/>
          <w:szCs w:val="23"/>
          <w:lang w:val="es-ES_tradnl" w:eastAsia="es-ES"/>
        </w:rPr>
        <w:t>, p</w:t>
      </w:r>
      <w:r w:rsidR="008161CA" w:rsidRPr="003A31F9">
        <w:rPr>
          <w:rFonts w:ascii="Arial" w:eastAsia="Arial Unicode MS" w:hAnsi="Arial" w:cs="Arial"/>
          <w:sz w:val="24"/>
          <w:szCs w:val="23"/>
          <w:bdr w:val="none" w:sz="0" w:space="0" w:color="auto" w:frame="1"/>
          <w:lang w:val="es-ES_tradnl" w:eastAsia="es-ES"/>
        </w:rPr>
        <w:t xml:space="preserve">ese a </w:t>
      </w:r>
      <w:r>
        <w:rPr>
          <w:rFonts w:ascii="Arial" w:eastAsia="Arial Unicode MS" w:hAnsi="Arial" w:cs="Arial"/>
          <w:sz w:val="24"/>
          <w:szCs w:val="23"/>
          <w:bdr w:val="none" w:sz="0" w:space="0" w:color="auto" w:frame="1"/>
          <w:lang w:val="es-ES_tradnl" w:eastAsia="es-ES"/>
        </w:rPr>
        <w:t>la consagración</w:t>
      </w:r>
      <w:r w:rsidR="008161CA" w:rsidRPr="003A31F9">
        <w:rPr>
          <w:rFonts w:ascii="Arial" w:eastAsia="Arial Unicode MS" w:hAnsi="Arial" w:cs="Arial"/>
          <w:sz w:val="24"/>
          <w:szCs w:val="23"/>
          <w:bdr w:val="none" w:sz="0" w:space="0" w:color="auto" w:frame="1"/>
          <w:lang w:val="es-ES_tradnl" w:eastAsia="es-ES"/>
        </w:rPr>
        <w:t xml:space="preserve"> </w:t>
      </w:r>
      <w:r>
        <w:rPr>
          <w:rFonts w:ascii="Arial" w:eastAsia="Arial Unicode MS" w:hAnsi="Arial" w:cs="Arial"/>
          <w:sz w:val="24"/>
          <w:szCs w:val="23"/>
          <w:bdr w:val="none" w:sz="0" w:space="0" w:color="auto" w:frame="1"/>
          <w:lang w:val="es-ES_tradnl" w:eastAsia="es-ES"/>
        </w:rPr>
        <w:t>d</w:t>
      </w:r>
      <w:r w:rsidR="008161CA" w:rsidRPr="003A31F9">
        <w:rPr>
          <w:rFonts w:ascii="Arial" w:eastAsia="Arial Unicode MS" w:hAnsi="Arial" w:cs="Arial"/>
          <w:sz w:val="24"/>
          <w:szCs w:val="23"/>
          <w:bdr w:val="none" w:sz="0" w:space="0" w:color="auto" w:frame="1"/>
          <w:lang w:val="es-ES_tradnl" w:eastAsia="es-ES"/>
        </w:rPr>
        <w:t xml:space="preserve">el derecho a la salud, dentro de los derechos sociales, económicos y culturales, la Corte Constitucional le ha reconocido el carácter de derecho fundamental, atribuyéndole un mandato al Estado en lo relativo a la prevención, promoción y protección de la salud y el mejoramiento de la calidad de vida de los </w:t>
      </w:r>
      <w:r>
        <w:rPr>
          <w:rFonts w:ascii="Arial" w:eastAsia="Arial Unicode MS" w:hAnsi="Arial" w:cs="Arial"/>
          <w:sz w:val="24"/>
          <w:szCs w:val="23"/>
          <w:bdr w:val="none" w:sz="0" w:space="0" w:color="auto" w:frame="1"/>
          <w:lang w:val="es-ES_tradnl" w:eastAsia="es-ES"/>
        </w:rPr>
        <w:t>ciudadanos</w:t>
      </w:r>
      <w:r w:rsidR="008161CA" w:rsidRPr="003A31F9">
        <w:rPr>
          <w:rFonts w:ascii="Arial" w:eastAsia="Arial Unicode MS" w:hAnsi="Arial" w:cs="Arial"/>
          <w:sz w:val="24"/>
          <w:szCs w:val="23"/>
          <w:bdr w:val="none" w:sz="0" w:space="0" w:color="auto" w:frame="1"/>
          <w:lang w:val="es-ES_tradnl" w:eastAsia="es-ES"/>
        </w:rPr>
        <w:t xml:space="preserve">. </w:t>
      </w:r>
    </w:p>
    <w:p w:rsidR="008161CA" w:rsidRPr="003A31F9" w:rsidRDefault="003A31F9" w:rsidP="00424A20">
      <w:pPr>
        <w:spacing w:before="120" w:after="120" w:line="360" w:lineRule="auto"/>
        <w:jc w:val="both"/>
        <w:rPr>
          <w:rFonts w:ascii="Arial" w:eastAsia="Arial Unicode MS" w:hAnsi="Arial" w:cs="Arial"/>
          <w:sz w:val="24"/>
          <w:szCs w:val="23"/>
          <w:lang w:val="es-ES_tradnl" w:eastAsia="es-ES"/>
        </w:rPr>
      </w:pPr>
      <w:r>
        <w:rPr>
          <w:rFonts w:ascii="Arial" w:eastAsia="Arial Unicode MS" w:hAnsi="Arial" w:cs="Arial"/>
          <w:sz w:val="24"/>
          <w:szCs w:val="23"/>
          <w:lang w:val="es-ES_tradnl" w:eastAsia="es-ES"/>
        </w:rPr>
        <w:t>Además de lo ya expuesto</w:t>
      </w:r>
      <w:r w:rsidR="008161CA" w:rsidRPr="003A31F9">
        <w:rPr>
          <w:rFonts w:ascii="Arial" w:eastAsia="Arial Unicode MS" w:hAnsi="Arial" w:cs="Arial"/>
          <w:sz w:val="24"/>
          <w:szCs w:val="23"/>
          <w:lang w:val="es-ES_tradnl" w:eastAsia="es-ES"/>
        </w:rPr>
        <w:t>, la ley estatutaria en salud</w:t>
      </w:r>
      <w:r>
        <w:rPr>
          <w:rFonts w:ascii="Arial" w:eastAsia="Arial Unicode MS" w:hAnsi="Arial" w:cs="Arial"/>
          <w:sz w:val="24"/>
          <w:szCs w:val="23"/>
          <w:lang w:val="es-ES_tradnl" w:eastAsia="es-ES"/>
        </w:rPr>
        <w:t xml:space="preserve">, </w:t>
      </w:r>
      <w:r w:rsidR="008161CA" w:rsidRPr="003A31F9">
        <w:rPr>
          <w:rFonts w:ascii="Arial" w:eastAsia="Arial Unicode MS" w:hAnsi="Arial" w:cs="Arial"/>
          <w:sz w:val="24"/>
          <w:szCs w:val="23"/>
          <w:lang w:val="es-ES_tradnl" w:eastAsia="es-ES"/>
        </w:rPr>
        <w:t>Ley 1751 de 2015</w:t>
      </w:r>
      <w:r>
        <w:rPr>
          <w:rFonts w:ascii="Arial" w:eastAsia="Arial Unicode MS" w:hAnsi="Arial" w:cs="Arial"/>
          <w:sz w:val="24"/>
          <w:szCs w:val="23"/>
          <w:lang w:val="es-ES_tradnl" w:eastAsia="es-ES"/>
        </w:rPr>
        <w:t>,</w:t>
      </w:r>
      <w:r w:rsidR="008161CA" w:rsidRPr="003A31F9">
        <w:rPr>
          <w:rFonts w:ascii="Arial" w:eastAsia="Arial Unicode MS" w:hAnsi="Arial" w:cs="Arial"/>
          <w:sz w:val="24"/>
          <w:szCs w:val="23"/>
          <w:lang w:val="es-ES_tradnl" w:eastAsia="es-ES"/>
        </w:rPr>
        <w:t xml:space="preserve"> señala que los determinantes sociales de la salud tienen relación directa con el goce efectivo de esta, por eso la educación para la vida, el acceso a información clara sobre consumos nocivos y la promoción de la salud, son elementos claves en la generación de prácticas sociales saludables. </w:t>
      </w:r>
      <w:r w:rsidR="00575350">
        <w:rPr>
          <w:rFonts w:ascii="Arial" w:eastAsia="Arial Unicode MS" w:hAnsi="Arial" w:cs="Arial"/>
          <w:sz w:val="24"/>
          <w:szCs w:val="23"/>
          <w:lang w:val="es-ES_tradnl" w:eastAsia="es-ES"/>
        </w:rPr>
        <w:t>El consumo indiscriminado de medicamentos de venta libre y antibióticos</w:t>
      </w:r>
      <w:r w:rsidR="008161CA" w:rsidRPr="003A31F9">
        <w:rPr>
          <w:rFonts w:ascii="Arial" w:eastAsia="Arial Unicode MS" w:hAnsi="Arial" w:cs="Arial"/>
          <w:sz w:val="24"/>
          <w:szCs w:val="23"/>
          <w:lang w:val="es-ES_tradnl" w:eastAsia="es-ES"/>
        </w:rPr>
        <w:t xml:space="preserve">, </w:t>
      </w:r>
      <w:r w:rsidR="00575350">
        <w:rPr>
          <w:rFonts w:ascii="Arial" w:eastAsia="Arial Unicode MS" w:hAnsi="Arial" w:cs="Arial"/>
          <w:sz w:val="24"/>
          <w:szCs w:val="23"/>
          <w:lang w:val="es-ES_tradnl" w:eastAsia="es-ES"/>
        </w:rPr>
        <w:t>es</w:t>
      </w:r>
      <w:r w:rsidR="008161CA" w:rsidRPr="003A31F9">
        <w:rPr>
          <w:rFonts w:ascii="Arial" w:eastAsia="Arial Unicode MS" w:hAnsi="Arial" w:cs="Arial"/>
          <w:sz w:val="24"/>
          <w:szCs w:val="23"/>
          <w:lang w:val="es-ES_tradnl" w:eastAsia="es-ES"/>
        </w:rPr>
        <w:t xml:space="preserve"> tema </w:t>
      </w:r>
      <w:r w:rsidR="00575350">
        <w:rPr>
          <w:rFonts w:ascii="Arial" w:eastAsia="Arial Unicode MS" w:hAnsi="Arial" w:cs="Arial"/>
          <w:sz w:val="24"/>
          <w:szCs w:val="23"/>
          <w:lang w:val="es-ES_tradnl" w:eastAsia="es-ES"/>
        </w:rPr>
        <w:t>a reglamentar</w:t>
      </w:r>
      <w:r w:rsidR="008161CA" w:rsidRPr="003A31F9">
        <w:rPr>
          <w:rFonts w:ascii="Arial" w:eastAsia="Arial Unicode MS" w:hAnsi="Arial" w:cs="Arial"/>
          <w:sz w:val="24"/>
          <w:szCs w:val="23"/>
          <w:lang w:val="es-ES_tradnl" w:eastAsia="es-ES"/>
        </w:rPr>
        <w:t xml:space="preserve"> </w:t>
      </w:r>
      <w:r w:rsidR="00575350">
        <w:rPr>
          <w:rFonts w:ascii="Arial" w:eastAsia="Arial Unicode MS" w:hAnsi="Arial" w:cs="Arial"/>
          <w:sz w:val="24"/>
          <w:szCs w:val="23"/>
          <w:lang w:val="es-ES_tradnl" w:eastAsia="es-ES"/>
        </w:rPr>
        <w:t>debido a</w:t>
      </w:r>
      <w:r w:rsidR="008161CA" w:rsidRPr="003A31F9">
        <w:rPr>
          <w:rFonts w:ascii="Arial" w:eastAsia="Arial Unicode MS" w:hAnsi="Arial" w:cs="Arial"/>
          <w:sz w:val="24"/>
          <w:szCs w:val="23"/>
          <w:lang w:val="es-ES_tradnl" w:eastAsia="es-ES"/>
        </w:rPr>
        <w:t xml:space="preserve"> los graves riesgos para la salud que conlleva la falta de controles y la </w:t>
      </w:r>
      <w:r w:rsidR="00575350">
        <w:rPr>
          <w:rFonts w:ascii="Arial" w:eastAsia="Arial Unicode MS" w:hAnsi="Arial" w:cs="Arial"/>
          <w:sz w:val="24"/>
          <w:szCs w:val="23"/>
          <w:lang w:val="es-ES_tradnl" w:eastAsia="es-ES"/>
        </w:rPr>
        <w:t>ausencia</w:t>
      </w:r>
      <w:r w:rsidR="008161CA" w:rsidRPr="003A31F9">
        <w:rPr>
          <w:rFonts w:ascii="Arial" w:eastAsia="Arial Unicode MS" w:hAnsi="Arial" w:cs="Arial"/>
          <w:sz w:val="24"/>
          <w:szCs w:val="23"/>
          <w:lang w:val="es-ES_tradnl" w:eastAsia="es-ES"/>
        </w:rPr>
        <w:t xml:space="preserve"> </w:t>
      </w:r>
      <w:r w:rsidR="00575350">
        <w:rPr>
          <w:rFonts w:ascii="Arial" w:eastAsia="Arial Unicode MS" w:hAnsi="Arial" w:cs="Arial"/>
          <w:sz w:val="24"/>
          <w:szCs w:val="23"/>
          <w:lang w:val="es-ES_tradnl" w:eastAsia="es-ES"/>
        </w:rPr>
        <w:t>y</w:t>
      </w:r>
      <w:r w:rsidR="008161CA" w:rsidRPr="003A31F9">
        <w:rPr>
          <w:rFonts w:ascii="Arial" w:eastAsia="Arial Unicode MS" w:hAnsi="Arial" w:cs="Arial"/>
          <w:sz w:val="24"/>
          <w:szCs w:val="23"/>
          <w:lang w:val="es-ES_tradnl" w:eastAsia="es-ES"/>
        </w:rPr>
        <w:t xml:space="preserve"> disponibilidad de información veraz, conforme a la evidencia científica que muestra la relación entre </w:t>
      </w:r>
      <w:r w:rsidR="00575350">
        <w:rPr>
          <w:rFonts w:ascii="Arial" w:eastAsia="Arial Unicode MS" w:hAnsi="Arial" w:cs="Arial"/>
          <w:sz w:val="24"/>
          <w:szCs w:val="23"/>
          <w:lang w:val="es-ES_tradnl" w:eastAsia="es-ES"/>
        </w:rPr>
        <w:t xml:space="preserve">la </w:t>
      </w:r>
      <w:r w:rsidR="00720F64">
        <w:rPr>
          <w:rFonts w:ascii="Arial" w:eastAsia="Arial Unicode MS" w:hAnsi="Arial" w:cs="Arial"/>
          <w:sz w:val="24"/>
          <w:szCs w:val="23"/>
          <w:lang w:val="es-ES_tradnl" w:eastAsia="es-ES"/>
        </w:rPr>
        <w:t>Automedicación</w:t>
      </w:r>
      <w:r w:rsidR="00575350">
        <w:rPr>
          <w:rFonts w:ascii="Arial" w:eastAsia="Arial Unicode MS" w:hAnsi="Arial" w:cs="Arial"/>
          <w:sz w:val="24"/>
          <w:szCs w:val="23"/>
          <w:lang w:val="es-ES_tradnl" w:eastAsia="es-ES"/>
        </w:rPr>
        <w:t xml:space="preserve"> irresponsable, como también la adherencia al tratamiento farmacológico</w:t>
      </w:r>
      <w:r w:rsidR="008161CA" w:rsidRPr="003A31F9">
        <w:rPr>
          <w:rFonts w:ascii="Arial" w:eastAsia="Arial Unicode MS" w:hAnsi="Arial" w:cs="Arial"/>
          <w:sz w:val="24"/>
          <w:szCs w:val="23"/>
          <w:lang w:val="es-ES_tradnl" w:eastAsia="es-ES"/>
        </w:rPr>
        <w:t xml:space="preserve"> y </w:t>
      </w:r>
      <w:r w:rsidR="00575350">
        <w:rPr>
          <w:rFonts w:ascii="Arial" w:eastAsia="Arial Unicode MS" w:hAnsi="Arial" w:cs="Arial"/>
          <w:sz w:val="24"/>
          <w:szCs w:val="23"/>
          <w:lang w:val="es-ES_tradnl" w:eastAsia="es-ES"/>
        </w:rPr>
        <w:t>su impacto</w:t>
      </w:r>
      <w:r w:rsidR="008161CA" w:rsidRPr="003A31F9">
        <w:rPr>
          <w:rFonts w:ascii="Arial" w:eastAsia="Arial Unicode MS" w:hAnsi="Arial" w:cs="Arial"/>
          <w:sz w:val="24"/>
          <w:szCs w:val="23"/>
          <w:lang w:val="es-ES_tradnl" w:eastAsia="es-ES"/>
        </w:rPr>
        <w:t xml:space="preserve"> en </w:t>
      </w:r>
      <w:r w:rsidR="00575350">
        <w:rPr>
          <w:rFonts w:ascii="Arial" w:eastAsia="Arial Unicode MS" w:hAnsi="Arial" w:cs="Arial"/>
          <w:sz w:val="24"/>
          <w:szCs w:val="23"/>
          <w:lang w:val="es-ES_tradnl" w:eastAsia="es-ES"/>
        </w:rPr>
        <w:t xml:space="preserve">la </w:t>
      </w:r>
      <w:r w:rsidR="008161CA" w:rsidRPr="003A31F9">
        <w:rPr>
          <w:rFonts w:ascii="Arial" w:eastAsia="Arial Unicode MS" w:hAnsi="Arial" w:cs="Arial"/>
          <w:sz w:val="24"/>
          <w:szCs w:val="23"/>
          <w:lang w:val="es-ES_tradnl" w:eastAsia="es-ES"/>
        </w:rPr>
        <w:t>salud.</w:t>
      </w:r>
    </w:p>
    <w:p w:rsidR="008161CA" w:rsidRPr="003A31F9" w:rsidRDefault="008161CA" w:rsidP="00575350">
      <w:pPr>
        <w:spacing w:before="120" w:after="120" w:line="360" w:lineRule="auto"/>
        <w:jc w:val="both"/>
        <w:rPr>
          <w:rFonts w:ascii="Arial" w:eastAsia="Arial Unicode MS" w:hAnsi="Arial" w:cs="Arial"/>
          <w:sz w:val="24"/>
          <w:szCs w:val="23"/>
          <w:lang w:val="es-ES_tradnl" w:eastAsia="es-ES"/>
        </w:rPr>
      </w:pPr>
      <w:r w:rsidRPr="003A31F9">
        <w:rPr>
          <w:rFonts w:ascii="Arial" w:eastAsia="Arial Unicode MS" w:hAnsi="Arial" w:cs="Arial"/>
          <w:sz w:val="24"/>
          <w:szCs w:val="23"/>
          <w:lang w:val="es-ES_tradnl" w:eastAsia="es-ES"/>
        </w:rPr>
        <w:t>El Plan Decenal de Salud Pública, PDSP, 2012 – 2021</w:t>
      </w:r>
      <w:r w:rsidRPr="003A31F9">
        <w:rPr>
          <w:rFonts w:ascii="Arial" w:eastAsia="Arial Unicode MS" w:hAnsi="Arial" w:cs="Arial"/>
          <w:sz w:val="24"/>
          <w:szCs w:val="23"/>
          <w:vertAlign w:val="superscript"/>
          <w:lang w:val="es-ES_tradnl" w:eastAsia="es-ES"/>
        </w:rPr>
        <w:footnoteReference w:id="2"/>
      </w:r>
      <w:r w:rsidRPr="003A31F9">
        <w:rPr>
          <w:rFonts w:ascii="Arial" w:eastAsia="Arial Unicode MS" w:hAnsi="Arial" w:cs="Arial"/>
          <w:sz w:val="24"/>
          <w:szCs w:val="23"/>
          <w:lang w:val="es-ES_tradnl" w:eastAsia="es-ES"/>
        </w:rPr>
        <w:t xml:space="preserve"> define la actuación articulada entre actores y sectores públicos, privados y comunitarios para crear condiciones que garanticen el bienestar integral y la calidad de vida en Colombia, promoviendo modos, condiciones y estilos de vida saludables en los espacios cotidianos de las personas, familias y comunidades, así como el acceso a una atención integrada de condiciones no transmisibles con enfoque diferencial.</w:t>
      </w:r>
    </w:p>
    <w:p w:rsidR="003A31F9" w:rsidRPr="005B5A4A" w:rsidRDefault="003A31F9" w:rsidP="00575350">
      <w:pPr>
        <w:spacing w:before="120" w:after="120" w:line="360" w:lineRule="auto"/>
        <w:jc w:val="both"/>
        <w:rPr>
          <w:rFonts w:ascii="Arial" w:eastAsia="Arial Unicode MS" w:hAnsi="Arial" w:cs="Arial"/>
          <w:color w:val="000000" w:themeColor="text1"/>
          <w:sz w:val="24"/>
          <w:szCs w:val="24"/>
          <w:lang w:val="es-ES_tradnl" w:eastAsia="es-ES"/>
        </w:rPr>
      </w:pPr>
      <w:r>
        <w:rPr>
          <w:rFonts w:ascii="Arial" w:eastAsia="Arial Unicode MS" w:hAnsi="Arial" w:cs="Arial"/>
          <w:sz w:val="24"/>
          <w:szCs w:val="23"/>
          <w:lang w:val="es-ES_tradnl" w:eastAsia="es-ES"/>
        </w:rPr>
        <w:t>De esta manera, e</w:t>
      </w:r>
      <w:r w:rsidR="008161CA" w:rsidRPr="003A31F9">
        <w:rPr>
          <w:rFonts w:ascii="Arial" w:eastAsia="Arial Unicode MS" w:hAnsi="Arial" w:cs="Arial"/>
          <w:sz w:val="24"/>
          <w:szCs w:val="23"/>
          <w:lang w:val="es-ES_tradnl" w:eastAsia="es-ES"/>
        </w:rPr>
        <w:t xml:space="preserve">l presente proyecto de ley tiene como objetivo principal promover el acceso libre a la información que requieren los colombianos para prevenir </w:t>
      </w:r>
      <w:r>
        <w:rPr>
          <w:rFonts w:ascii="Arial" w:eastAsia="Arial Unicode MS" w:hAnsi="Arial" w:cs="Arial"/>
          <w:sz w:val="24"/>
          <w:szCs w:val="23"/>
          <w:lang w:val="es-ES_tradnl" w:eastAsia="es-ES"/>
        </w:rPr>
        <w:t xml:space="preserve">la </w:t>
      </w:r>
      <w:r w:rsidR="00720F64">
        <w:rPr>
          <w:rFonts w:ascii="Arial" w:eastAsia="Arial Unicode MS" w:hAnsi="Arial" w:cs="Arial"/>
          <w:sz w:val="24"/>
          <w:szCs w:val="23"/>
          <w:lang w:val="es-ES_tradnl" w:eastAsia="es-ES"/>
        </w:rPr>
        <w:t>Automedicación</w:t>
      </w:r>
      <w:r w:rsidR="008161CA" w:rsidRPr="003A31F9">
        <w:rPr>
          <w:rFonts w:ascii="Arial" w:eastAsia="Arial Unicode MS" w:hAnsi="Arial" w:cs="Arial"/>
          <w:sz w:val="24"/>
          <w:szCs w:val="23"/>
          <w:lang w:val="es-ES_tradnl" w:eastAsia="es-ES"/>
        </w:rPr>
        <w:t xml:space="preserve"> y promover entornos saludables; acogiendo las recomendaciones </w:t>
      </w:r>
      <w:r w:rsidR="005B5A4A">
        <w:rPr>
          <w:rFonts w:ascii="Arial" w:eastAsia="Arial Unicode MS" w:hAnsi="Arial" w:cs="Arial"/>
          <w:sz w:val="24"/>
          <w:szCs w:val="23"/>
          <w:lang w:val="es-ES_tradnl" w:eastAsia="es-ES"/>
        </w:rPr>
        <w:t xml:space="preserve">sobre el uso de medicamentos </w:t>
      </w:r>
      <w:r w:rsidR="008161CA" w:rsidRPr="003A31F9">
        <w:rPr>
          <w:rFonts w:ascii="Arial" w:eastAsia="Arial Unicode MS" w:hAnsi="Arial" w:cs="Arial"/>
          <w:sz w:val="24"/>
          <w:szCs w:val="23"/>
          <w:lang w:val="es-ES_tradnl" w:eastAsia="es-ES"/>
        </w:rPr>
        <w:t xml:space="preserve">que desde hace años ha dirigido la Organización Mundial de la Salud (OMS) a los diferentes </w:t>
      </w:r>
      <w:r w:rsidR="008161CA" w:rsidRPr="005B5A4A">
        <w:rPr>
          <w:rFonts w:ascii="Arial" w:eastAsia="Arial Unicode MS" w:hAnsi="Arial" w:cs="Arial"/>
          <w:color w:val="000000" w:themeColor="text1"/>
          <w:sz w:val="24"/>
          <w:szCs w:val="24"/>
          <w:lang w:val="es-ES_tradnl" w:eastAsia="es-ES"/>
        </w:rPr>
        <w:t>Estados e</w:t>
      </w:r>
      <w:r w:rsidR="00B76759" w:rsidRPr="005B5A4A">
        <w:rPr>
          <w:rFonts w:ascii="Arial" w:eastAsia="Arial Unicode MS" w:hAnsi="Arial" w:cs="Arial"/>
          <w:color w:val="000000" w:themeColor="text1"/>
          <w:sz w:val="24"/>
          <w:szCs w:val="24"/>
          <w:lang w:val="es-ES_tradnl" w:eastAsia="es-ES"/>
        </w:rPr>
        <w:t xml:space="preserve">n el sentido de </w:t>
      </w:r>
      <w:r w:rsidR="005B5A4A" w:rsidRPr="005B5A4A">
        <w:rPr>
          <w:rFonts w:ascii="Arial" w:hAnsi="Arial" w:cs="Arial"/>
          <w:color w:val="000000" w:themeColor="text1"/>
          <w:sz w:val="24"/>
          <w:szCs w:val="24"/>
        </w:rPr>
        <w:t>apostar</w:t>
      </w:r>
      <w:r w:rsidR="00B76759" w:rsidRPr="005B5A4A">
        <w:rPr>
          <w:rFonts w:ascii="Arial" w:hAnsi="Arial" w:cs="Arial"/>
          <w:color w:val="000000" w:themeColor="text1"/>
          <w:sz w:val="24"/>
          <w:szCs w:val="24"/>
        </w:rPr>
        <w:t xml:space="preserve"> por </w:t>
      </w:r>
      <w:r w:rsidR="005B5A4A">
        <w:rPr>
          <w:rFonts w:ascii="Arial" w:hAnsi="Arial" w:cs="Arial"/>
          <w:color w:val="000000" w:themeColor="text1"/>
          <w:sz w:val="24"/>
          <w:szCs w:val="24"/>
        </w:rPr>
        <w:t>el</w:t>
      </w:r>
      <w:r w:rsidR="00B76759" w:rsidRPr="005B5A4A">
        <w:rPr>
          <w:rFonts w:ascii="Arial" w:hAnsi="Arial" w:cs="Arial"/>
          <w:color w:val="000000" w:themeColor="text1"/>
          <w:sz w:val="24"/>
          <w:szCs w:val="24"/>
        </w:rPr>
        <w:t xml:space="preserve"> </w:t>
      </w:r>
      <w:r w:rsidR="005B5A4A">
        <w:rPr>
          <w:rFonts w:ascii="Arial" w:hAnsi="Arial" w:cs="Arial"/>
          <w:color w:val="000000" w:themeColor="text1"/>
          <w:sz w:val="24"/>
          <w:szCs w:val="24"/>
        </w:rPr>
        <w:t xml:space="preserve">su </w:t>
      </w:r>
      <w:r w:rsidR="00B76759" w:rsidRPr="005B5A4A">
        <w:rPr>
          <w:rFonts w:ascii="Arial" w:hAnsi="Arial" w:cs="Arial"/>
          <w:color w:val="000000" w:themeColor="text1"/>
          <w:sz w:val="24"/>
          <w:szCs w:val="24"/>
        </w:rPr>
        <w:t>uso racional</w:t>
      </w:r>
      <w:r w:rsidR="005B5A4A" w:rsidRPr="005B5A4A">
        <w:rPr>
          <w:rFonts w:ascii="Arial" w:hAnsi="Arial" w:cs="Arial"/>
          <w:color w:val="000000" w:themeColor="text1"/>
          <w:sz w:val="24"/>
          <w:szCs w:val="24"/>
        </w:rPr>
        <w:t>, entendiéndolo</w:t>
      </w:r>
      <w:r w:rsidR="005B5A4A">
        <w:rPr>
          <w:rFonts w:ascii="Arial" w:hAnsi="Arial" w:cs="Arial"/>
          <w:color w:val="000000" w:themeColor="text1"/>
          <w:sz w:val="24"/>
          <w:szCs w:val="24"/>
        </w:rPr>
        <w:t>s</w:t>
      </w:r>
      <w:r w:rsidR="005B5A4A" w:rsidRPr="005B5A4A">
        <w:rPr>
          <w:rFonts w:ascii="Arial" w:hAnsi="Arial" w:cs="Arial"/>
          <w:color w:val="000000" w:themeColor="text1"/>
          <w:sz w:val="24"/>
          <w:szCs w:val="24"/>
        </w:rPr>
        <w:t xml:space="preserve"> </w:t>
      </w:r>
      <w:r w:rsidR="00B76759" w:rsidRPr="005B5A4A">
        <w:rPr>
          <w:rFonts w:ascii="Arial" w:hAnsi="Arial" w:cs="Arial"/>
          <w:color w:val="000000" w:themeColor="text1"/>
          <w:sz w:val="24"/>
          <w:szCs w:val="24"/>
        </w:rPr>
        <w:t xml:space="preserve">como un "instrumento de salud" y no como un bien de consumo, por lo que su </w:t>
      </w:r>
      <w:r w:rsidR="005B5A4A">
        <w:rPr>
          <w:rFonts w:ascii="Arial" w:hAnsi="Arial" w:cs="Arial"/>
          <w:color w:val="000000" w:themeColor="text1"/>
          <w:sz w:val="24"/>
          <w:szCs w:val="24"/>
        </w:rPr>
        <w:t>administración</w:t>
      </w:r>
      <w:r w:rsidR="00B76759" w:rsidRPr="005B5A4A">
        <w:rPr>
          <w:rFonts w:ascii="Arial" w:hAnsi="Arial" w:cs="Arial"/>
          <w:color w:val="000000" w:themeColor="text1"/>
          <w:sz w:val="24"/>
          <w:szCs w:val="24"/>
        </w:rPr>
        <w:t xml:space="preserve"> debe adecuarse a las necesidades de cada individuo. </w:t>
      </w:r>
    </w:p>
    <w:p w:rsidR="008161CA" w:rsidRPr="003A31F9" w:rsidRDefault="008161CA" w:rsidP="00575350">
      <w:pPr>
        <w:spacing w:before="120" w:after="120" w:line="360" w:lineRule="auto"/>
        <w:jc w:val="both"/>
        <w:rPr>
          <w:rFonts w:ascii="Arial" w:eastAsia="Arial Unicode MS" w:hAnsi="Arial" w:cs="Arial"/>
          <w:sz w:val="24"/>
          <w:szCs w:val="23"/>
          <w:lang w:val="es-ES_tradnl" w:eastAsia="es-ES"/>
        </w:rPr>
      </w:pPr>
      <w:r w:rsidRPr="003A31F9">
        <w:rPr>
          <w:rFonts w:ascii="Arial" w:eastAsia="Arial Unicode MS" w:hAnsi="Arial" w:cs="Arial"/>
          <w:sz w:val="24"/>
          <w:szCs w:val="23"/>
          <w:lang w:val="es-ES_tradnl" w:eastAsia="es-ES"/>
        </w:rPr>
        <w:t xml:space="preserve">De ahí por ejemplo, que la ley </w:t>
      </w:r>
      <w:r w:rsidR="003A31F9">
        <w:rPr>
          <w:rFonts w:ascii="Arial" w:eastAsia="Arial Unicode MS" w:hAnsi="Arial" w:cs="Arial"/>
          <w:sz w:val="24"/>
          <w:szCs w:val="23"/>
          <w:lang w:val="es-ES_tradnl" w:eastAsia="es-ES"/>
        </w:rPr>
        <w:t>aquí propuesta</w:t>
      </w:r>
      <w:r w:rsidRPr="003A31F9">
        <w:rPr>
          <w:rFonts w:ascii="Arial" w:eastAsia="Arial Unicode MS" w:hAnsi="Arial" w:cs="Arial"/>
          <w:sz w:val="24"/>
          <w:szCs w:val="23"/>
          <w:lang w:val="es-ES_tradnl" w:eastAsia="es-ES"/>
        </w:rPr>
        <w:t xml:space="preserve"> adopte en Colombia medidas tales como: i) un etiquetado frontal de advertencia, gracias al </w:t>
      </w:r>
      <w:r w:rsidR="003A31F9">
        <w:rPr>
          <w:rFonts w:ascii="Arial" w:eastAsia="Arial Unicode MS" w:hAnsi="Arial" w:cs="Arial"/>
          <w:sz w:val="24"/>
          <w:szCs w:val="23"/>
          <w:lang w:val="es-ES_tradnl" w:eastAsia="es-ES"/>
        </w:rPr>
        <w:t>cual</w:t>
      </w:r>
      <w:r w:rsidRPr="003A31F9">
        <w:rPr>
          <w:rFonts w:ascii="Arial" w:eastAsia="Arial Unicode MS" w:hAnsi="Arial" w:cs="Arial"/>
          <w:sz w:val="24"/>
          <w:szCs w:val="23"/>
          <w:lang w:val="es-ES_tradnl" w:eastAsia="es-ES"/>
        </w:rPr>
        <w:t xml:space="preserve"> toda persona </w:t>
      </w:r>
      <w:r w:rsidR="003A31F9">
        <w:rPr>
          <w:rFonts w:ascii="Arial" w:eastAsia="Arial Unicode MS" w:hAnsi="Arial" w:cs="Arial"/>
          <w:sz w:val="24"/>
          <w:szCs w:val="23"/>
          <w:lang w:val="es-ES_tradnl" w:eastAsia="es-ES"/>
        </w:rPr>
        <w:t xml:space="preserve">adulta </w:t>
      </w:r>
      <w:r w:rsidRPr="003A31F9">
        <w:rPr>
          <w:rFonts w:ascii="Arial" w:eastAsia="Arial Unicode MS" w:hAnsi="Arial" w:cs="Arial"/>
          <w:sz w:val="24"/>
          <w:szCs w:val="23"/>
          <w:lang w:val="es-ES_tradnl" w:eastAsia="es-ES"/>
        </w:rPr>
        <w:t xml:space="preserve">pueda entender fácilmente </w:t>
      </w:r>
      <w:r w:rsidR="003A31F9">
        <w:rPr>
          <w:rFonts w:ascii="Arial" w:eastAsia="Arial Unicode MS" w:hAnsi="Arial" w:cs="Arial"/>
          <w:sz w:val="24"/>
          <w:szCs w:val="23"/>
          <w:lang w:val="es-ES_tradnl" w:eastAsia="es-ES"/>
        </w:rPr>
        <w:t>los riesgos de automedicarse y acceder a una fuente confiable de información en caso que decida hacerlo</w:t>
      </w:r>
      <w:r w:rsidRPr="003A31F9">
        <w:rPr>
          <w:rFonts w:ascii="Arial" w:eastAsia="Arial Unicode MS" w:hAnsi="Arial" w:cs="Arial"/>
          <w:sz w:val="24"/>
          <w:szCs w:val="23"/>
          <w:lang w:val="es-ES_tradnl" w:eastAsia="es-ES"/>
        </w:rPr>
        <w:t xml:space="preserve">; ii) </w:t>
      </w:r>
      <w:r w:rsidR="003A31F9">
        <w:rPr>
          <w:rFonts w:ascii="Arial" w:eastAsia="Arial Unicode MS" w:hAnsi="Arial" w:cs="Arial"/>
          <w:sz w:val="24"/>
          <w:szCs w:val="23"/>
          <w:lang w:val="es-ES_tradnl" w:eastAsia="es-ES"/>
        </w:rPr>
        <w:t>ordenar</w:t>
      </w:r>
      <w:r w:rsidRPr="003A31F9">
        <w:rPr>
          <w:rFonts w:ascii="Arial" w:eastAsia="Arial Unicode MS" w:hAnsi="Arial" w:cs="Arial"/>
          <w:sz w:val="24"/>
          <w:szCs w:val="23"/>
          <w:lang w:val="es-ES_tradnl" w:eastAsia="es-ES"/>
        </w:rPr>
        <w:t xml:space="preserve"> a la instituciones estatales competentes de adelantar en todo el país campañas informativas sobre </w:t>
      </w:r>
      <w:r w:rsidR="003A31F9">
        <w:rPr>
          <w:rFonts w:ascii="Arial" w:eastAsia="Arial Unicode MS" w:hAnsi="Arial" w:cs="Arial"/>
          <w:sz w:val="24"/>
          <w:szCs w:val="23"/>
          <w:lang w:val="es-ES_tradnl" w:eastAsia="es-ES"/>
        </w:rPr>
        <w:t xml:space="preserve">la prevención de la </w:t>
      </w:r>
      <w:r w:rsidR="00720F64">
        <w:rPr>
          <w:rFonts w:ascii="Arial" w:eastAsia="Arial Unicode MS" w:hAnsi="Arial" w:cs="Arial"/>
          <w:sz w:val="24"/>
          <w:szCs w:val="23"/>
          <w:lang w:val="es-ES_tradnl" w:eastAsia="es-ES"/>
        </w:rPr>
        <w:t>Automedicación</w:t>
      </w:r>
      <w:r w:rsidRPr="003A31F9">
        <w:rPr>
          <w:rFonts w:ascii="Arial" w:eastAsia="Arial Unicode MS" w:hAnsi="Arial" w:cs="Arial"/>
          <w:sz w:val="24"/>
          <w:szCs w:val="23"/>
          <w:lang w:val="es-ES_tradnl" w:eastAsia="es-ES"/>
        </w:rPr>
        <w:t xml:space="preserve">, haciendo uso de medios de comunicación masivos y también promoviendo esta información en las </w:t>
      </w:r>
      <w:r w:rsidR="003A31F9">
        <w:rPr>
          <w:rFonts w:ascii="Arial" w:eastAsia="Arial Unicode MS" w:hAnsi="Arial" w:cs="Arial"/>
          <w:sz w:val="24"/>
          <w:szCs w:val="23"/>
          <w:lang w:val="es-ES_tradnl" w:eastAsia="es-ES"/>
        </w:rPr>
        <w:t>Entidades Promotoras de Salud</w:t>
      </w:r>
      <w:r w:rsidRPr="003A31F9">
        <w:rPr>
          <w:rFonts w:ascii="Arial" w:eastAsia="Arial Unicode MS" w:hAnsi="Arial" w:cs="Arial"/>
          <w:sz w:val="24"/>
          <w:szCs w:val="23"/>
          <w:lang w:val="es-ES_tradnl" w:eastAsia="es-ES"/>
        </w:rPr>
        <w:t xml:space="preserve">; iii) </w:t>
      </w:r>
      <w:r w:rsidR="003A31F9">
        <w:rPr>
          <w:rFonts w:ascii="Arial" w:eastAsia="Arial Unicode MS" w:hAnsi="Arial" w:cs="Arial"/>
          <w:sz w:val="24"/>
          <w:szCs w:val="23"/>
          <w:lang w:val="es-ES_tradnl" w:eastAsia="es-ES"/>
        </w:rPr>
        <w:t>regular</w:t>
      </w:r>
      <w:r w:rsidRPr="003A31F9">
        <w:rPr>
          <w:rFonts w:ascii="Arial" w:eastAsia="Arial Unicode MS" w:hAnsi="Arial" w:cs="Arial"/>
          <w:sz w:val="24"/>
          <w:szCs w:val="23"/>
          <w:lang w:val="es-ES_tradnl" w:eastAsia="es-ES"/>
        </w:rPr>
        <w:t xml:space="preserve"> la publicidad </w:t>
      </w:r>
      <w:r w:rsidR="003A31F9">
        <w:rPr>
          <w:rFonts w:ascii="Arial" w:eastAsia="Arial Unicode MS" w:hAnsi="Arial" w:cs="Arial"/>
          <w:sz w:val="24"/>
          <w:szCs w:val="23"/>
          <w:lang w:val="es-ES_tradnl" w:eastAsia="es-ES"/>
        </w:rPr>
        <w:t>de medicamentos de venta libre en franjas de mayor audiencia</w:t>
      </w:r>
      <w:r w:rsidRPr="003A31F9">
        <w:rPr>
          <w:rFonts w:ascii="Arial" w:eastAsia="Arial Unicode MS" w:hAnsi="Arial" w:cs="Arial"/>
          <w:sz w:val="24"/>
          <w:szCs w:val="23"/>
          <w:lang w:val="es-ES_tradnl" w:eastAsia="es-ES"/>
        </w:rPr>
        <w:t>; iv); entre otras medidas.</w:t>
      </w:r>
    </w:p>
    <w:p w:rsidR="008161CA" w:rsidRPr="00424A20" w:rsidRDefault="00424A20" w:rsidP="00526427">
      <w:pPr>
        <w:pStyle w:val="NormalWeb"/>
        <w:shd w:val="clear" w:color="auto" w:fill="FFFFFF"/>
        <w:spacing w:line="360" w:lineRule="auto"/>
        <w:jc w:val="both"/>
        <w:rPr>
          <w:rFonts w:ascii="Arial" w:hAnsi="Arial" w:cs="Arial"/>
          <w:b/>
        </w:rPr>
      </w:pPr>
      <w:r w:rsidRPr="00424A20">
        <w:rPr>
          <w:rFonts w:ascii="Arial" w:hAnsi="Arial" w:cs="Arial"/>
          <w:b/>
        </w:rPr>
        <w:t xml:space="preserve">¿Cuáles son los productos </w:t>
      </w:r>
      <w:r>
        <w:rPr>
          <w:rFonts w:ascii="Arial" w:hAnsi="Arial" w:cs="Arial"/>
          <w:b/>
        </w:rPr>
        <w:t>medicamentos</w:t>
      </w:r>
      <w:r w:rsidRPr="00424A20">
        <w:rPr>
          <w:rFonts w:ascii="Arial" w:hAnsi="Arial" w:cs="Arial"/>
          <w:b/>
        </w:rPr>
        <w:t xml:space="preserve"> objeto de esta ley?</w:t>
      </w:r>
    </w:p>
    <w:p w:rsidR="005B5A4A" w:rsidRDefault="005B5A4A" w:rsidP="005B5A4A">
      <w:pPr>
        <w:pStyle w:val="NormalWeb"/>
        <w:shd w:val="clear" w:color="auto" w:fill="FFFFFF"/>
        <w:spacing w:line="360" w:lineRule="auto"/>
        <w:jc w:val="both"/>
        <w:rPr>
          <w:rStyle w:val="Textoennegrita"/>
          <w:rFonts w:ascii="Arial" w:hAnsi="Arial" w:cs="Arial"/>
        </w:rPr>
      </w:pPr>
      <w:r>
        <w:rPr>
          <w:rFonts w:ascii="Arial" w:hAnsi="Arial" w:cs="Arial"/>
        </w:rPr>
        <w:t xml:space="preserve">En términos comerciales las ventas de medicamentos </w:t>
      </w:r>
      <w:r w:rsidRPr="007530AC">
        <w:rPr>
          <w:rFonts w:ascii="Arial" w:hAnsi="Arial" w:cs="Arial"/>
        </w:rPr>
        <w:t>se dividen en dos grupos</w:t>
      </w:r>
      <w:r>
        <w:rPr>
          <w:rFonts w:ascii="Arial" w:hAnsi="Arial" w:cs="Arial"/>
        </w:rPr>
        <w:t xml:space="preserve">, </w:t>
      </w:r>
      <w:r w:rsidRPr="007530AC">
        <w:rPr>
          <w:rFonts w:ascii="Arial" w:hAnsi="Arial" w:cs="Arial"/>
        </w:rPr>
        <w:t>las ins</w:t>
      </w:r>
      <w:r>
        <w:rPr>
          <w:rFonts w:ascii="Arial" w:hAnsi="Arial" w:cs="Arial"/>
        </w:rPr>
        <w:t>titucionales (</w:t>
      </w:r>
      <w:r w:rsidRPr="007530AC">
        <w:rPr>
          <w:rFonts w:ascii="Arial" w:hAnsi="Arial" w:cs="Arial"/>
        </w:rPr>
        <w:t>medicamentos que compra el sistema de salud y que luego las EPS le entregan a cada ciudadano) y las comerciales (lo que pagamos de nuestro bolsillo cuando vamos a una farmacia, sin importar si el medicamento fue prescrito o no por un especialista). Se calcula que anualmente el negocio mueve unos </w:t>
      </w:r>
      <w:r w:rsidRPr="007530AC">
        <w:rPr>
          <w:rStyle w:val="Textoennegrita"/>
          <w:rFonts w:ascii="Arial" w:hAnsi="Arial" w:cs="Arial"/>
        </w:rPr>
        <w:t>9,5 billones de pesos en Colombia</w:t>
      </w:r>
      <w:r w:rsidRPr="007530AC">
        <w:rPr>
          <w:rFonts w:ascii="Arial" w:hAnsi="Arial" w:cs="Arial"/>
        </w:rPr>
        <w:t xml:space="preserve">, de los cuales </w:t>
      </w:r>
      <w:r w:rsidRPr="00B27767">
        <w:rPr>
          <w:rFonts w:ascii="Arial" w:hAnsi="Arial" w:cs="Arial"/>
        </w:rPr>
        <w:t>casi </w:t>
      </w:r>
      <w:r w:rsidRPr="00B27767">
        <w:rPr>
          <w:rStyle w:val="Textoennegrita"/>
          <w:rFonts w:ascii="Arial" w:hAnsi="Arial" w:cs="Arial"/>
          <w:b w:val="0"/>
        </w:rPr>
        <w:t>70% son ventas institucionales y 30% son comerciales</w:t>
      </w:r>
      <w:r>
        <w:rPr>
          <w:rStyle w:val="Refdenotaalpie"/>
          <w:rFonts w:ascii="Arial" w:hAnsi="Arial" w:cs="Arial"/>
          <w:bCs/>
        </w:rPr>
        <w:footnoteReference w:id="3"/>
      </w:r>
    </w:p>
    <w:p w:rsidR="005B5A4A" w:rsidRDefault="005B5A4A" w:rsidP="005B5A4A">
      <w:pPr>
        <w:pStyle w:val="NormalWeb"/>
        <w:shd w:val="clear" w:color="auto" w:fill="FFFFFF"/>
        <w:spacing w:line="360" w:lineRule="auto"/>
        <w:jc w:val="both"/>
        <w:rPr>
          <w:rFonts w:ascii="Arial" w:hAnsi="Arial" w:cs="Arial"/>
        </w:rPr>
      </w:pPr>
      <w:r>
        <w:rPr>
          <w:rFonts w:ascii="Arial" w:hAnsi="Arial" w:cs="Arial"/>
        </w:rPr>
        <w:t>De acuerdo con la fuente anteriormente citada, existe una segunda clasificación a</w:t>
      </w:r>
      <w:r w:rsidRPr="00B27767">
        <w:rPr>
          <w:rFonts w:ascii="Arial" w:hAnsi="Arial" w:cs="Arial"/>
        </w:rPr>
        <w:t xml:space="preserve">l analizar las cifras de la industria </w:t>
      </w:r>
      <w:r>
        <w:rPr>
          <w:rFonts w:ascii="Arial" w:hAnsi="Arial" w:cs="Arial"/>
        </w:rPr>
        <w:t xml:space="preserve">que distingue </w:t>
      </w:r>
      <w:r w:rsidRPr="00B27767">
        <w:rPr>
          <w:rFonts w:ascii="Arial" w:hAnsi="Arial" w:cs="Arial"/>
        </w:rPr>
        <w:t>entre los medicamentos p</w:t>
      </w:r>
      <w:r>
        <w:rPr>
          <w:rFonts w:ascii="Arial" w:hAnsi="Arial" w:cs="Arial"/>
        </w:rPr>
        <w:t xml:space="preserve">rescritos y los de venta libre, </w:t>
      </w:r>
      <w:r w:rsidRPr="00B27767">
        <w:rPr>
          <w:rFonts w:ascii="Arial" w:hAnsi="Arial" w:cs="Arial"/>
        </w:rPr>
        <w:t>también conocidos como OTC</w:t>
      </w:r>
      <w:r>
        <w:rPr>
          <w:rFonts w:ascii="Arial" w:hAnsi="Arial" w:cs="Arial"/>
        </w:rPr>
        <w:t xml:space="preserve"> (</w:t>
      </w:r>
      <w:proofErr w:type="spellStart"/>
      <w:r>
        <w:rPr>
          <w:rFonts w:ascii="Arial" w:hAnsi="Arial" w:cs="Arial"/>
        </w:rPr>
        <w:t>Over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Counter</w:t>
      </w:r>
      <w:proofErr w:type="spellEnd"/>
      <w:r>
        <w:rPr>
          <w:rFonts w:ascii="Arial" w:hAnsi="Arial" w:cs="Arial"/>
        </w:rPr>
        <w:t>)</w:t>
      </w:r>
      <w:r w:rsidRPr="00B27767">
        <w:rPr>
          <w:rFonts w:ascii="Arial" w:hAnsi="Arial" w:cs="Arial"/>
        </w:rPr>
        <w:t xml:space="preserve">. </w:t>
      </w:r>
      <w:r>
        <w:rPr>
          <w:rFonts w:ascii="Arial" w:hAnsi="Arial" w:cs="Arial"/>
        </w:rPr>
        <w:t>Mientras que e</w:t>
      </w:r>
      <w:r w:rsidRPr="00B27767">
        <w:rPr>
          <w:rFonts w:ascii="Arial" w:hAnsi="Arial" w:cs="Arial"/>
        </w:rPr>
        <w:t xml:space="preserve">n Colombia está prohibida la publicidad de los primeros, </w:t>
      </w:r>
      <w:r>
        <w:rPr>
          <w:rFonts w:ascii="Arial" w:hAnsi="Arial" w:cs="Arial"/>
        </w:rPr>
        <w:t>y por eso no vemos publicidad de medicamentos contra</w:t>
      </w:r>
      <w:r w:rsidRPr="00B27767">
        <w:rPr>
          <w:rFonts w:ascii="Arial" w:hAnsi="Arial" w:cs="Arial"/>
        </w:rPr>
        <w:t xml:space="preserve"> el cáncer o la </w:t>
      </w:r>
      <w:r>
        <w:rPr>
          <w:rFonts w:ascii="Arial" w:hAnsi="Arial" w:cs="Arial"/>
        </w:rPr>
        <w:t>hipertensión en canales públicos, sí existe un amplio despliegue en medios y horarios “Prime” de productos con bases o combinación de 163 principios activos</w:t>
      </w:r>
      <w:r>
        <w:rPr>
          <w:rStyle w:val="Refdenotaalpie"/>
          <w:rFonts w:ascii="Arial" w:hAnsi="Arial" w:cs="Arial"/>
        </w:rPr>
        <w:footnoteReference w:id="4"/>
      </w:r>
      <w:r>
        <w:rPr>
          <w:rFonts w:ascii="Arial" w:hAnsi="Arial" w:cs="Arial"/>
        </w:rPr>
        <w:t xml:space="preserve">. Esa forma de mercadear los medicamentos OTC es la que debe controlarse para prevenir que cada vez más colombianos pongan en riesgo su salud e impacten el sistema de atención por las consecuencias derivadas del consumo indiscriminado de medicamentos sin control alguno. </w:t>
      </w:r>
    </w:p>
    <w:p w:rsidR="00C13F3E" w:rsidRPr="007530AC" w:rsidRDefault="00075394" w:rsidP="00526427">
      <w:pPr>
        <w:pStyle w:val="NormalWeb"/>
        <w:shd w:val="clear" w:color="auto" w:fill="FFFFFF"/>
        <w:spacing w:line="360" w:lineRule="auto"/>
        <w:jc w:val="both"/>
        <w:rPr>
          <w:rFonts w:ascii="Arial" w:hAnsi="Arial" w:cs="Arial"/>
        </w:rPr>
      </w:pPr>
      <w:r w:rsidRPr="00075394">
        <w:rPr>
          <w:rFonts w:ascii="Arial" w:hAnsi="Arial" w:cs="Arial"/>
        </w:rPr>
        <w:t>En Colombia existen cerca de 90 laboratorios farmacéuticos, entre nacionales y extranjeros.</w:t>
      </w:r>
      <w:r w:rsidR="00C13F3E">
        <w:rPr>
          <w:rFonts w:ascii="Arial" w:hAnsi="Arial" w:cs="Arial"/>
        </w:rPr>
        <w:t> </w:t>
      </w:r>
      <w:r w:rsidR="00C13F3E" w:rsidRPr="007530AC">
        <w:rPr>
          <w:rFonts w:ascii="Arial" w:hAnsi="Arial" w:cs="Arial"/>
        </w:rPr>
        <w:t>57</w:t>
      </w:r>
      <w:r w:rsidR="00C13F3E">
        <w:rPr>
          <w:rFonts w:ascii="Arial" w:hAnsi="Arial" w:cs="Arial"/>
        </w:rPr>
        <w:t xml:space="preserve"> </w:t>
      </w:r>
      <w:r w:rsidR="00C13F3E" w:rsidRPr="007530AC">
        <w:rPr>
          <w:rFonts w:ascii="Arial" w:hAnsi="Arial" w:cs="Arial"/>
        </w:rPr>
        <w:t xml:space="preserve">de ellos hacen parte de la Cámara de la Industria Farmacéutica de la ANDI y varios pertenecen al mismo tiempo a alguno de otros dos gremios: la Asociación de Laboratorios Farmacéuticos de Investigación y Desarrollo </w:t>
      </w:r>
      <w:r w:rsidR="00C13F3E">
        <w:rPr>
          <w:rFonts w:ascii="Arial" w:hAnsi="Arial" w:cs="Arial"/>
        </w:rPr>
        <w:t xml:space="preserve">- </w:t>
      </w:r>
      <w:proofErr w:type="spellStart"/>
      <w:r w:rsidR="00C13F3E" w:rsidRPr="007530AC">
        <w:rPr>
          <w:rFonts w:ascii="Arial" w:hAnsi="Arial" w:cs="Arial"/>
        </w:rPr>
        <w:t>Afidro</w:t>
      </w:r>
      <w:proofErr w:type="spellEnd"/>
      <w:r w:rsidR="00C13F3E" w:rsidRPr="007530AC">
        <w:rPr>
          <w:rFonts w:ascii="Arial" w:hAnsi="Arial" w:cs="Arial"/>
        </w:rPr>
        <w:t xml:space="preserve">, que reúne a 23 grandes multinacionales, y la Asociación de Industrias </w:t>
      </w:r>
      <w:proofErr w:type="spellStart"/>
      <w:r w:rsidR="00C13F3E" w:rsidRPr="007530AC">
        <w:rPr>
          <w:rFonts w:ascii="Arial" w:hAnsi="Arial" w:cs="Arial"/>
        </w:rPr>
        <w:t>Farmaceuticas</w:t>
      </w:r>
      <w:proofErr w:type="spellEnd"/>
      <w:r w:rsidR="00C13F3E" w:rsidRPr="007530AC">
        <w:rPr>
          <w:rFonts w:ascii="Arial" w:hAnsi="Arial" w:cs="Arial"/>
        </w:rPr>
        <w:t xml:space="preserve"> </w:t>
      </w:r>
      <w:r w:rsidR="00C13F3E">
        <w:rPr>
          <w:rFonts w:ascii="Arial" w:hAnsi="Arial" w:cs="Arial"/>
        </w:rPr>
        <w:t xml:space="preserve">- </w:t>
      </w:r>
      <w:proofErr w:type="spellStart"/>
      <w:r w:rsidR="00C13F3E" w:rsidRPr="007530AC">
        <w:rPr>
          <w:rFonts w:ascii="Arial" w:hAnsi="Arial" w:cs="Arial"/>
        </w:rPr>
        <w:t>Asinfar</w:t>
      </w:r>
      <w:proofErr w:type="spellEnd"/>
      <w:r w:rsidR="00C13F3E" w:rsidRPr="007530AC">
        <w:rPr>
          <w:rFonts w:ascii="Arial" w:hAnsi="Arial" w:cs="Arial"/>
        </w:rPr>
        <w:t>, a la que están afiliados 26 laboratorios colombianos</w:t>
      </w:r>
      <w:r>
        <w:rPr>
          <w:rStyle w:val="Refdenotaalpie"/>
          <w:rFonts w:ascii="Arial" w:hAnsi="Arial" w:cs="Arial"/>
        </w:rPr>
        <w:footnoteReference w:id="5"/>
      </w:r>
      <w:r w:rsidR="00C13F3E" w:rsidRPr="007530AC">
        <w:rPr>
          <w:rFonts w:ascii="Arial" w:hAnsi="Arial" w:cs="Arial"/>
        </w:rPr>
        <w:t>.</w:t>
      </w:r>
    </w:p>
    <w:p w:rsidR="005B5A4A" w:rsidRPr="005B5A4A" w:rsidRDefault="005B5A4A" w:rsidP="00526427">
      <w:pPr>
        <w:pStyle w:val="NormalWeb"/>
        <w:shd w:val="clear" w:color="auto" w:fill="FFFFFF"/>
        <w:spacing w:line="360" w:lineRule="auto"/>
        <w:jc w:val="both"/>
        <w:rPr>
          <w:rFonts w:ascii="Arial" w:hAnsi="Arial" w:cs="Arial"/>
          <w:b/>
        </w:rPr>
      </w:pPr>
      <w:r w:rsidRPr="005B5A4A">
        <w:rPr>
          <w:rFonts w:ascii="Arial" w:hAnsi="Arial" w:cs="Arial"/>
          <w:b/>
        </w:rPr>
        <w:t xml:space="preserve">¿Por qué regular </w:t>
      </w:r>
      <w:r>
        <w:rPr>
          <w:rFonts w:ascii="Arial" w:hAnsi="Arial" w:cs="Arial"/>
          <w:b/>
        </w:rPr>
        <w:t>la publicidad de medicamentos de venta libre</w:t>
      </w:r>
      <w:r w:rsidRPr="005B5A4A">
        <w:rPr>
          <w:rFonts w:ascii="Arial" w:hAnsi="Arial" w:cs="Arial"/>
          <w:b/>
        </w:rPr>
        <w:t>?</w:t>
      </w:r>
    </w:p>
    <w:p w:rsidR="00EC1493" w:rsidRDefault="00EC1493" w:rsidP="00EC1493">
      <w:pPr>
        <w:pStyle w:val="NormalWeb"/>
        <w:shd w:val="clear" w:color="auto" w:fill="FFFFFF"/>
        <w:spacing w:line="360" w:lineRule="auto"/>
        <w:jc w:val="both"/>
        <w:rPr>
          <w:rFonts w:ascii="Arial" w:hAnsi="Arial" w:cs="Arial"/>
        </w:rPr>
      </w:pPr>
      <w:r>
        <w:rPr>
          <w:rFonts w:ascii="Arial" w:hAnsi="Arial" w:cs="Arial"/>
        </w:rPr>
        <w:t>Se entiende la publicidad como “una forma de comunicación pagada por individuos o compañías con el ánimo de proveer información o influenciar a las personas para pensar o actuar de una forma particular”</w:t>
      </w:r>
      <w:r>
        <w:rPr>
          <w:rStyle w:val="Refdenotaalpie"/>
          <w:rFonts w:ascii="Arial" w:hAnsi="Arial" w:cs="Arial"/>
        </w:rPr>
        <w:footnoteReference w:id="6"/>
      </w:r>
    </w:p>
    <w:p w:rsidR="00C13F3E" w:rsidRDefault="00C13F3E" w:rsidP="00526427">
      <w:pPr>
        <w:pStyle w:val="NormalWeb"/>
        <w:shd w:val="clear" w:color="auto" w:fill="FFFFFF"/>
        <w:spacing w:line="360" w:lineRule="auto"/>
        <w:jc w:val="both"/>
        <w:rPr>
          <w:rFonts w:ascii="Arial" w:hAnsi="Arial" w:cs="Arial"/>
        </w:rPr>
      </w:pPr>
      <w:r>
        <w:rPr>
          <w:rFonts w:ascii="Arial" w:hAnsi="Arial" w:cs="Arial"/>
        </w:rPr>
        <w:t>De acuerdo con varias investigaciones y, como opera con cualquier otro producto, existe una relación directa entre la publicidad de medicamentos de venta libre y el consumo de los mismos</w:t>
      </w:r>
      <w:r w:rsidR="00B95BFE">
        <w:rPr>
          <w:rStyle w:val="Refdenotaalpie"/>
          <w:rFonts w:ascii="Arial" w:hAnsi="Arial" w:cs="Arial"/>
        </w:rPr>
        <w:footnoteReference w:id="7"/>
      </w:r>
      <w:r>
        <w:rPr>
          <w:rFonts w:ascii="Arial" w:hAnsi="Arial" w:cs="Arial"/>
        </w:rPr>
        <w:t>. La publicidad, sumada a la proliferación de sitios en internet donde cualquier persona puede obtener información, no siempre acertada, sobre patologías y tratamientos, ponen en alto riesgo a la población. En este sentido “</w:t>
      </w:r>
      <w:r w:rsidRPr="00AD5668">
        <w:rPr>
          <w:rFonts w:ascii="Arial" w:hAnsi="Arial" w:cs="Arial"/>
        </w:rPr>
        <w:t>el creciente protagonismo de las empresas farmacéuticas conduce a situaciones donde los criterios del mercado pueden entrar en conflicto con los aspectos éticos o las prioridades de Salud Pública, sobre todo con las más recientes legislaciones sobre publicidad y marketing farmacéutico</w:t>
      </w:r>
      <w:r>
        <w:rPr>
          <w:rFonts w:ascii="Arial" w:hAnsi="Arial" w:cs="Arial"/>
        </w:rPr>
        <w:t>”</w:t>
      </w:r>
      <w:r>
        <w:rPr>
          <w:rStyle w:val="Refdenotaalpie"/>
          <w:rFonts w:ascii="Arial" w:hAnsi="Arial" w:cs="Arial"/>
        </w:rPr>
        <w:footnoteReference w:id="8"/>
      </w:r>
    </w:p>
    <w:p w:rsidR="00EC1493" w:rsidRDefault="00EC1493" w:rsidP="00526427">
      <w:pPr>
        <w:pStyle w:val="NormalWeb"/>
        <w:shd w:val="clear" w:color="auto" w:fill="FFFFFF"/>
        <w:spacing w:line="360" w:lineRule="auto"/>
        <w:jc w:val="both"/>
        <w:rPr>
          <w:rFonts w:ascii="Arial" w:hAnsi="Arial" w:cs="Arial"/>
        </w:rPr>
      </w:pPr>
      <w:r>
        <w:rPr>
          <w:rFonts w:ascii="Arial" w:hAnsi="Arial" w:cs="Arial"/>
        </w:rPr>
        <w:t xml:space="preserve">La publicidad juega un papel determinante, ya que </w:t>
      </w:r>
      <w:r w:rsidRPr="00AD5668">
        <w:rPr>
          <w:rFonts w:ascii="Arial" w:hAnsi="Arial" w:cs="Arial"/>
        </w:rPr>
        <w:t>“</w:t>
      </w:r>
      <w:r>
        <w:rPr>
          <w:rFonts w:ascii="Arial" w:hAnsi="Arial" w:cs="Arial"/>
          <w:color w:val="000000"/>
          <w:shd w:val="clear" w:color="auto" w:fill="FFFFFF"/>
        </w:rPr>
        <w:t>e</w:t>
      </w:r>
      <w:r w:rsidRPr="00AD5668">
        <w:rPr>
          <w:rFonts w:ascii="Arial" w:hAnsi="Arial" w:cs="Arial"/>
          <w:color w:val="000000"/>
          <w:shd w:val="clear" w:color="auto" w:fill="FFFFFF"/>
        </w:rPr>
        <w:t>n los últimos años, las empresas f</w:t>
      </w:r>
      <w:r>
        <w:rPr>
          <w:rFonts w:ascii="Arial" w:hAnsi="Arial" w:cs="Arial"/>
          <w:color w:val="000000"/>
          <w:shd w:val="clear" w:color="auto" w:fill="FFFFFF"/>
        </w:rPr>
        <w:t>armacéuticas se han apoyado en e</w:t>
      </w:r>
      <w:r w:rsidRPr="00AD5668">
        <w:rPr>
          <w:rFonts w:ascii="Arial" w:hAnsi="Arial" w:cs="Arial"/>
          <w:color w:val="000000"/>
          <w:shd w:val="clear" w:color="auto" w:fill="FFFFFF"/>
        </w:rPr>
        <w:t>sta para promover sus productos al grueso de la población. Como ocurre con cualquier fórmula publicitaria, el producto es ofrecido a partir de sus beneficios potenciales, no de los efectos secundarios ni de los riesgos que podría generar entre los consumidores. En muchos casos, se exageran los beneficios potenciales e inclusive se le llegan a atribuir propiedades y características de las que carece. La leyenda “consulte a su médico” normalmente acompaña a la publicidad, si bien el efecto que esta consigna podría tener en el público es marginal”</w:t>
      </w:r>
      <w:r>
        <w:rPr>
          <w:rStyle w:val="Refdenotaalpie"/>
          <w:rFonts w:ascii="Arial" w:hAnsi="Arial" w:cs="Arial"/>
          <w:color w:val="000000"/>
          <w:shd w:val="clear" w:color="auto" w:fill="FFFFFF"/>
        </w:rPr>
        <w:footnoteReference w:id="9"/>
      </w:r>
    </w:p>
    <w:p w:rsidR="00C13F3E" w:rsidRDefault="00C13F3E" w:rsidP="00526427">
      <w:pPr>
        <w:pStyle w:val="NormalWeb"/>
        <w:shd w:val="clear" w:color="auto" w:fill="FFFFFF"/>
        <w:spacing w:line="360" w:lineRule="auto"/>
        <w:jc w:val="both"/>
        <w:rPr>
          <w:rFonts w:ascii="Arial" w:hAnsi="Arial" w:cs="Arial"/>
        </w:rPr>
      </w:pPr>
      <w:r>
        <w:rPr>
          <w:rFonts w:ascii="Arial" w:hAnsi="Arial" w:cs="Arial"/>
        </w:rPr>
        <w:t xml:space="preserve">Para evitar este fenómeno en el caso de coacción </w:t>
      </w:r>
      <w:r w:rsidR="00EC1493">
        <w:rPr>
          <w:rFonts w:ascii="Arial" w:hAnsi="Arial" w:cs="Arial"/>
        </w:rPr>
        <w:t xml:space="preserve">publicitaria </w:t>
      </w:r>
      <w:r>
        <w:rPr>
          <w:rFonts w:ascii="Arial" w:hAnsi="Arial" w:cs="Arial"/>
        </w:rPr>
        <w:t xml:space="preserve">al personal de salud, se ha creado el proyecto de Resolución </w:t>
      </w:r>
      <w:r w:rsidRPr="00F7561A">
        <w:rPr>
          <w:rFonts w:ascii="Arial" w:hAnsi="Arial" w:cs="Arial"/>
        </w:rPr>
        <w:t xml:space="preserve">llamado </w:t>
      </w:r>
      <w:r w:rsidRPr="00F7561A">
        <w:rPr>
          <w:rFonts w:ascii="Arial" w:hAnsi="Arial" w:cs="Arial"/>
          <w:b/>
        </w:rPr>
        <w:t>Registro de Transferencias de Valor</w:t>
      </w:r>
      <w:r>
        <w:rPr>
          <w:rStyle w:val="Refdenotaalpie"/>
          <w:rFonts w:ascii="Arial" w:hAnsi="Arial" w:cs="Arial"/>
          <w:b/>
        </w:rPr>
        <w:footnoteReference w:id="10"/>
      </w:r>
      <w:r w:rsidRPr="00F7561A">
        <w:rPr>
          <w:rFonts w:ascii="Arial" w:hAnsi="Arial" w:cs="Arial"/>
        </w:rPr>
        <w:t xml:space="preserve">, una iniciativa </w:t>
      </w:r>
      <w:r>
        <w:rPr>
          <w:rFonts w:ascii="Arial" w:hAnsi="Arial" w:cs="Arial"/>
        </w:rPr>
        <w:t xml:space="preserve">donde </w:t>
      </w:r>
      <w:r w:rsidRPr="00F7561A">
        <w:rPr>
          <w:rFonts w:ascii="Arial" w:hAnsi="Arial" w:cs="Arial"/>
        </w:rPr>
        <w:t>la industria farmacéutica en Colombia deberá reportar en la página web de esa entidad todos los pagos e invitaciones a médicos, sociedades científicas, organizaciones de pacientes, investigadores, droguista</w:t>
      </w:r>
      <w:r>
        <w:rPr>
          <w:rFonts w:ascii="Arial" w:hAnsi="Arial" w:cs="Arial"/>
        </w:rPr>
        <w:t>s y hasta periodistas. La idea es garantizar la</w:t>
      </w:r>
      <w:r w:rsidRPr="00F7561A">
        <w:rPr>
          <w:rFonts w:ascii="Arial" w:hAnsi="Arial" w:cs="Arial"/>
        </w:rPr>
        <w:t xml:space="preserve"> transparen</w:t>
      </w:r>
      <w:r>
        <w:rPr>
          <w:rFonts w:ascii="Arial" w:hAnsi="Arial" w:cs="Arial"/>
        </w:rPr>
        <w:t>cia</w:t>
      </w:r>
      <w:r w:rsidRPr="00F7561A">
        <w:rPr>
          <w:rFonts w:ascii="Arial" w:hAnsi="Arial" w:cs="Arial"/>
        </w:rPr>
        <w:t xml:space="preserve"> </w:t>
      </w:r>
      <w:r>
        <w:rPr>
          <w:rFonts w:ascii="Arial" w:hAnsi="Arial" w:cs="Arial"/>
        </w:rPr>
        <w:t xml:space="preserve">buscando evitar </w:t>
      </w:r>
      <w:r w:rsidRPr="00F7561A">
        <w:rPr>
          <w:rFonts w:ascii="Arial" w:hAnsi="Arial" w:cs="Arial"/>
        </w:rPr>
        <w:t>la inducción a la demanda fomentada por los laboratorios.</w:t>
      </w:r>
    </w:p>
    <w:p w:rsidR="00EC1493" w:rsidRPr="00EC1493" w:rsidRDefault="00EC1493" w:rsidP="00526427">
      <w:pPr>
        <w:pStyle w:val="NormalWeb"/>
        <w:shd w:val="clear" w:color="auto" w:fill="FFFFFF"/>
        <w:spacing w:line="360" w:lineRule="auto"/>
        <w:jc w:val="both"/>
        <w:rPr>
          <w:rFonts w:ascii="Arial" w:hAnsi="Arial" w:cs="Arial"/>
          <w:b/>
        </w:rPr>
      </w:pPr>
      <w:r w:rsidRPr="00EC1493">
        <w:rPr>
          <w:rFonts w:ascii="Arial" w:hAnsi="Arial" w:cs="Arial"/>
          <w:b/>
        </w:rPr>
        <w:t xml:space="preserve">¿Qué </w:t>
      </w:r>
      <w:r>
        <w:rPr>
          <w:rFonts w:ascii="Arial" w:hAnsi="Arial" w:cs="Arial"/>
          <w:b/>
        </w:rPr>
        <w:t xml:space="preserve">es la </w:t>
      </w:r>
      <w:r w:rsidR="00720F64">
        <w:rPr>
          <w:rFonts w:ascii="Arial" w:hAnsi="Arial" w:cs="Arial"/>
          <w:b/>
        </w:rPr>
        <w:t>Automedicación</w:t>
      </w:r>
      <w:r w:rsidRPr="00EC1493">
        <w:rPr>
          <w:rFonts w:ascii="Arial" w:hAnsi="Arial" w:cs="Arial"/>
          <w:b/>
        </w:rPr>
        <w:t xml:space="preserve"> y cuáles son los problemas de salud pública que </w:t>
      </w:r>
      <w:r>
        <w:rPr>
          <w:rFonts w:ascii="Arial" w:hAnsi="Arial" w:cs="Arial"/>
          <w:b/>
        </w:rPr>
        <w:t>se derivan a partir de ella</w:t>
      </w:r>
      <w:r w:rsidRPr="00EC1493">
        <w:rPr>
          <w:rFonts w:ascii="Arial" w:hAnsi="Arial" w:cs="Arial"/>
          <w:b/>
        </w:rPr>
        <w:t>?</w:t>
      </w:r>
    </w:p>
    <w:p w:rsidR="00F157EF" w:rsidRPr="00F157EF" w:rsidRDefault="00F157EF" w:rsidP="00526427">
      <w:pPr>
        <w:pStyle w:val="NormalWeb"/>
        <w:shd w:val="clear" w:color="auto" w:fill="FFFFFF"/>
        <w:spacing w:line="360" w:lineRule="auto"/>
        <w:jc w:val="both"/>
        <w:rPr>
          <w:rFonts w:ascii="Arial" w:hAnsi="Arial" w:cs="Arial"/>
          <w:color w:val="333333"/>
        </w:rPr>
      </w:pPr>
      <w:r w:rsidRPr="00F157EF">
        <w:rPr>
          <w:rFonts w:ascii="Arial" w:hAnsi="Arial" w:cs="Arial"/>
        </w:rPr>
        <w:t xml:space="preserve">La </w:t>
      </w:r>
      <w:r w:rsidRPr="009E7C12">
        <w:rPr>
          <w:rFonts w:ascii="Arial" w:hAnsi="Arial" w:cs="Arial"/>
          <w:szCs w:val="21"/>
          <w:shd w:val="clear" w:color="auto" w:fill="FFFFFF"/>
        </w:rPr>
        <w:t>Organización Mundial de la Salud (OMS)</w:t>
      </w:r>
      <w:r w:rsidRPr="00F157EF">
        <w:rPr>
          <w:rFonts w:ascii="Arial" w:hAnsi="Arial" w:cs="Arial"/>
        </w:rPr>
        <w:t xml:space="preserve"> incluye el concepto de </w:t>
      </w:r>
      <w:r w:rsidR="00720F64">
        <w:rPr>
          <w:rFonts w:ascii="Arial" w:hAnsi="Arial" w:cs="Arial"/>
        </w:rPr>
        <w:t>Automedicación</w:t>
      </w:r>
      <w:r w:rsidRPr="00F157EF">
        <w:rPr>
          <w:rFonts w:ascii="Arial" w:hAnsi="Arial" w:cs="Arial"/>
        </w:rPr>
        <w:t xml:space="preserve">, situación en la cual </w:t>
      </w:r>
      <w:r>
        <w:rPr>
          <w:rFonts w:ascii="Arial" w:hAnsi="Arial" w:cs="Arial"/>
        </w:rPr>
        <w:t>“</w:t>
      </w:r>
      <w:r w:rsidRPr="00F157EF">
        <w:rPr>
          <w:rFonts w:ascii="Arial" w:hAnsi="Arial" w:cs="Arial"/>
        </w:rPr>
        <w:t xml:space="preserve">hay un uso responsable de medicamentos por parte de la persona, normalmente cuando conoce tanto los síntomas de su enfermedad como el medicamento para combatirla. Según la OMS la </w:t>
      </w:r>
      <w:r w:rsidR="00720F64">
        <w:rPr>
          <w:rFonts w:ascii="Arial" w:hAnsi="Arial" w:cs="Arial"/>
        </w:rPr>
        <w:t>Automedicación</w:t>
      </w:r>
      <w:r w:rsidRPr="00F157EF">
        <w:rPr>
          <w:rFonts w:ascii="Arial" w:hAnsi="Arial" w:cs="Arial"/>
        </w:rPr>
        <w:t xml:space="preserve"> responsable es válida como fórmula de atención de salud en los países desarrollados</w:t>
      </w:r>
      <w:r>
        <w:rPr>
          <w:rFonts w:ascii="Arial" w:hAnsi="Arial" w:cs="Arial"/>
        </w:rPr>
        <w:t>.</w:t>
      </w:r>
      <w:r>
        <w:rPr>
          <w:rStyle w:val="Refdenotaalpie"/>
          <w:rFonts w:ascii="Arial" w:hAnsi="Arial" w:cs="Arial"/>
        </w:rPr>
        <w:footnoteReference w:id="11"/>
      </w:r>
    </w:p>
    <w:p w:rsidR="00C13F3E" w:rsidRDefault="00C13F3E" w:rsidP="00526427">
      <w:pPr>
        <w:pStyle w:val="NormalWeb"/>
        <w:shd w:val="clear" w:color="auto" w:fill="FFFFFF"/>
        <w:spacing w:line="360" w:lineRule="auto"/>
        <w:jc w:val="both"/>
        <w:rPr>
          <w:rFonts w:ascii="Arial" w:hAnsi="Arial" w:cs="Arial"/>
          <w:shd w:val="clear" w:color="auto" w:fill="FFFFFF"/>
        </w:rPr>
      </w:pPr>
      <w:r>
        <w:rPr>
          <w:rFonts w:ascii="Arial" w:hAnsi="Arial" w:cs="Arial"/>
          <w:szCs w:val="21"/>
          <w:shd w:val="clear" w:color="auto" w:fill="FFFFFF"/>
        </w:rPr>
        <w:t>Aunque l</w:t>
      </w:r>
      <w:r w:rsidRPr="009E7C12">
        <w:rPr>
          <w:rFonts w:ascii="Arial" w:hAnsi="Arial" w:cs="Arial"/>
          <w:szCs w:val="21"/>
          <w:shd w:val="clear" w:color="auto" w:fill="FFFFFF"/>
        </w:rPr>
        <w:t xml:space="preserve">a OMS reconoce y acepta la </w:t>
      </w:r>
      <w:r w:rsidR="00720F64">
        <w:rPr>
          <w:rFonts w:ascii="Arial" w:hAnsi="Arial" w:cs="Arial"/>
          <w:szCs w:val="21"/>
          <w:shd w:val="clear" w:color="auto" w:fill="FFFFFF"/>
        </w:rPr>
        <w:t>Automedicación</w:t>
      </w:r>
      <w:r>
        <w:rPr>
          <w:rFonts w:ascii="Arial" w:hAnsi="Arial" w:cs="Arial"/>
          <w:szCs w:val="21"/>
          <w:shd w:val="clear" w:color="auto" w:fill="FFFFFF"/>
        </w:rPr>
        <w:t xml:space="preserve">, siempre y cuando se haga de manera </w:t>
      </w:r>
      <w:r w:rsidRPr="009E7C12">
        <w:rPr>
          <w:rFonts w:ascii="Arial" w:hAnsi="Arial" w:cs="Arial"/>
          <w:szCs w:val="21"/>
          <w:shd w:val="clear" w:color="auto" w:fill="FFFFFF"/>
        </w:rPr>
        <w:t>“responsable”</w:t>
      </w:r>
      <w:r>
        <w:rPr>
          <w:rFonts w:ascii="Arial" w:hAnsi="Arial" w:cs="Arial"/>
          <w:szCs w:val="21"/>
          <w:shd w:val="clear" w:color="auto" w:fill="FFFFFF"/>
        </w:rPr>
        <w:t xml:space="preserve"> y, pone de ejemplo</w:t>
      </w:r>
      <w:r w:rsidRPr="009E7C12">
        <w:rPr>
          <w:rFonts w:ascii="Arial" w:hAnsi="Arial" w:cs="Arial"/>
          <w:szCs w:val="21"/>
          <w:shd w:val="clear" w:color="auto" w:fill="FFFFFF"/>
        </w:rPr>
        <w:t xml:space="preserve"> el uso de medicamentos de libre acceso (sin </w:t>
      </w:r>
      <w:r>
        <w:rPr>
          <w:rFonts w:ascii="Arial" w:hAnsi="Arial" w:cs="Arial"/>
          <w:szCs w:val="21"/>
          <w:shd w:val="clear" w:color="auto" w:fill="FFFFFF"/>
        </w:rPr>
        <w:t>fórmula</w:t>
      </w:r>
      <w:r w:rsidRPr="009E7C12">
        <w:rPr>
          <w:rFonts w:ascii="Arial" w:hAnsi="Arial" w:cs="Arial"/>
          <w:szCs w:val="21"/>
          <w:shd w:val="clear" w:color="auto" w:fill="FFFFFF"/>
        </w:rPr>
        <w:t xml:space="preserve"> médica) para el alivio de síntomas poco graves como las dolencias leves de garganta, estómago, oído o la tos, </w:t>
      </w:r>
      <w:r>
        <w:rPr>
          <w:rFonts w:ascii="Arial" w:hAnsi="Arial" w:cs="Arial"/>
          <w:szCs w:val="21"/>
          <w:shd w:val="clear" w:color="auto" w:fill="FFFFFF"/>
        </w:rPr>
        <w:t>dicha práctica</w:t>
      </w:r>
      <w:r w:rsidRPr="009E7C12">
        <w:rPr>
          <w:rFonts w:ascii="Arial" w:hAnsi="Arial" w:cs="Arial"/>
          <w:szCs w:val="21"/>
          <w:shd w:val="clear" w:color="auto" w:fill="FFFFFF"/>
        </w:rPr>
        <w:t xml:space="preserve"> no </w:t>
      </w:r>
      <w:r>
        <w:rPr>
          <w:rFonts w:ascii="Arial" w:hAnsi="Arial" w:cs="Arial"/>
          <w:szCs w:val="21"/>
          <w:shd w:val="clear" w:color="auto" w:fill="FFFFFF"/>
        </w:rPr>
        <w:t xml:space="preserve">debe </w:t>
      </w:r>
      <w:r w:rsidRPr="009E7C12">
        <w:rPr>
          <w:rFonts w:ascii="Arial" w:hAnsi="Arial" w:cs="Arial"/>
          <w:szCs w:val="21"/>
          <w:shd w:val="clear" w:color="auto" w:fill="FFFFFF"/>
        </w:rPr>
        <w:t>reempla</w:t>
      </w:r>
      <w:r>
        <w:rPr>
          <w:rFonts w:ascii="Arial" w:hAnsi="Arial" w:cs="Arial"/>
          <w:szCs w:val="21"/>
          <w:shd w:val="clear" w:color="auto" w:fill="FFFFFF"/>
        </w:rPr>
        <w:t>zar</w:t>
      </w:r>
      <w:r w:rsidRPr="009E7C12">
        <w:rPr>
          <w:rFonts w:ascii="Arial" w:hAnsi="Arial" w:cs="Arial"/>
          <w:szCs w:val="21"/>
          <w:shd w:val="clear" w:color="auto" w:fill="FFFFFF"/>
        </w:rPr>
        <w:t xml:space="preserve"> “el contacto del profesional con el paciente”.</w:t>
      </w:r>
      <w:r>
        <w:rPr>
          <w:rFonts w:ascii="Arial" w:hAnsi="Arial" w:cs="Arial"/>
          <w:szCs w:val="21"/>
          <w:shd w:val="clear" w:color="auto" w:fill="FFFFFF"/>
        </w:rPr>
        <w:t xml:space="preserve"> Por su parte, varios investigadores han puesto de manifiesto que </w:t>
      </w:r>
      <w:r w:rsidRPr="009E7C12">
        <w:rPr>
          <w:rFonts w:ascii="Arial" w:hAnsi="Arial" w:cs="Arial"/>
          <w:shd w:val="clear" w:color="auto" w:fill="FFFFFF"/>
        </w:rPr>
        <w:t xml:space="preserve">“por cuestiones culturales y sociales de la población, la sobre-prescripción y la dispensación por parte de profesionales de la salud, así como </w:t>
      </w:r>
      <w:r w:rsidRPr="009E7C12">
        <w:rPr>
          <w:rFonts w:ascii="Arial" w:hAnsi="Arial" w:cs="Arial"/>
          <w:u w:val="single"/>
          <w:shd w:val="clear" w:color="auto" w:fill="FFFFFF"/>
        </w:rPr>
        <w:t>la presión de la industria farmacéutica a través de la publicidad</w:t>
      </w:r>
      <w:r w:rsidRPr="009E7C12">
        <w:rPr>
          <w:rFonts w:ascii="Arial" w:hAnsi="Arial" w:cs="Arial"/>
          <w:shd w:val="clear" w:color="auto" w:fill="FFFFFF"/>
        </w:rPr>
        <w:t>, muchas veces “engañosa”, hacen del uso del medicamento sinónimo de salud”</w:t>
      </w:r>
      <w:r>
        <w:rPr>
          <w:rStyle w:val="Refdenotaalpie"/>
          <w:rFonts w:ascii="Arial" w:hAnsi="Arial" w:cs="Arial"/>
          <w:shd w:val="clear" w:color="auto" w:fill="FFFFFF"/>
        </w:rPr>
        <w:footnoteReference w:id="12"/>
      </w:r>
    </w:p>
    <w:p w:rsidR="00F157EF" w:rsidRDefault="004E15E0" w:rsidP="004E15E0">
      <w:pPr>
        <w:pStyle w:val="NormalWeb"/>
        <w:shd w:val="clear" w:color="auto" w:fill="FFFFFF"/>
        <w:spacing w:line="360" w:lineRule="auto"/>
        <w:jc w:val="both"/>
        <w:rPr>
          <w:rFonts w:ascii="Arial" w:hAnsi="Arial" w:cs="Arial"/>
        </w:rPr>
      </w:pPr>
      <w:r>
        <w:rPr>
          <w:rFonts w:ascii="Arial" w:hAnsi="Arial" w:cs="Arial"/>
        </w:rPr>
        <w:t>Además de la publicidad, en su libro “</w:t>
      </w:r>
      <w:r w:rsidRPr="004E15E0">
        <w:rPr>
          <w:rFonts w:ascii="Arial" w:hAnsi="Arial" w:cs="Arial"/>
        </w:rPr>
        <w:t>Farmacología general. Una guía de estudio</w:t>
      </w:r>
      <w:r>
        <w:rPr>
          <w:rFonts w:ascii="Arial" w:hAnsi="Arial" w:cs="Arial"/>
        </w:rPr>
        <w:t>”</w:t>
      </w:r>
      <w:r>
        <w:rPr>
          <w:rStyle w:val="Refdenotaalpie"/>
          <w:rFonts w:ascii="Arial" w:hAnsi="Arial" w:cs="Arial"/>
        </w:rPr>
        <w:footnoteReference w:id="13"/>
      </w:r>
      <w:r>
        <w:rPr>
          <w:rFonts w:ascii="Arial" w:hAnsi="Arial" w:cs="Arial"/>
        </w:rPr>
        <w:t xml:space="preserve">, </w:t>
      </w:r>
      <w:r w:rsidRPr="004E15E0">
        <w:rPr>
          <w:rFonts w:ascii="Arial" w:hAnsi="Arial" w:cs="Arial"/>
        </w:rPr>
        <w:t xml:space="preserve">Hernández </w:t>
      </w:r>
      <w:r>
        <w:rPr>
          <w:rFonts w:ascii="Arial" w:hAnsi="Arial" w:cs="Arial"/>
        </w:rPr>
        <w:t xml:space="preserve">menciona siete factores asociados a la </w:t>
      </w:r>
      <w:r w:rsidR="00720F64">
        <w:rPr>
          <w:rFonts w:ascii="Arial" w:hAnsi="Arial" w:cs="Arial"/>
        </w:rPr>
        <w:t>Automedicación</w:t>
      </w:r>
      <w:r>
        <w:rPr>
          <w:rFonts w:ascii="Arial" w:hAnsi="Arial" w:cs="Arial"/>
        </w:rPr>
        <w:t xml:space="preserve"> (Figura 1.) De ellas, el presente proyecto de ley pretende impactar cuatro: No presencia de personal calificado, bajo control de venta, mercadotecnia y bajo nivel educativo.</w:t>
      </w:r>
    </w:p>
    <w:p w:rsidR="004E15E0" w:rsidRPr="00FB2E3C" w:rsidRDefault="004E15E0" w:rsidP="004E15E0">
      <w:pPr>
        <w:pStyle w:val="NormalWeb"/>
        <w:shd w:val="clear" w:color="auto" w:fill="FFFFFF"/>
        <w:spacing w:line="360" w:lineRule="auto"/>
        <w:jc w:val="center"/>
        <w:rPr>
          <w:rFonts w:ascii="Arial" w:hAnsi="Arial" w:cs="Arial"/>
          <w:b/>
          <w:sz w:val="32"/>
        </w:rPr>
      </w:pPr>
      <w:r>
        <w:rPr>
          <w:rFonts w:ascii="Arial" w:hAnsi="Arial" w:cs="Arial"/>
          <w:noProof/>
        </w:rPr>
        <w:drawing>
          <wp:inline distT="0" distB="0" distL="0" distR="0">
            <wp:extent cx="5108854" cy="2764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TORES ASOCIADOS A LA AUTOMEDICACIÓN.png"/>
                    <pic:cNvPicPr/>
                  </pic:nvPicPr>
                  <pic:blipFill>
                    <a:blip r:embed="rId9">
                      <a:extLst>
                        <a:ext uri="{28A0092B-C50C-407E-A947-70E740481C1C}">
                          <a14:useLocalDpi xmlns:a14="http://schemas.microsoft.com/office/drawing/2010/main" val="0"/>
                        </a:ext>
                      </a:extLst>
                    </a:blip>
                    <a:stretch>
                      <a:fillRect/>
                    </a:stretch>
                  </pic:blipFill>
                  <pic:spPr>
                    <a:xfrm>
                      <a:off x="0" y="0"/>
                      <a:ext cx="5130261" cy="2776375"/>
                    </a:xfrm>
                    <a:prstGeom prst="rect">
                      <a:avLst/>
                    </a:prstGeom>
                  </pic:spPr>
                </pic:pic>
              </a:graphicData>
            </a:graphic>
          </wp:inline>
        </w:drawing>
      </w:r>
      <w:r>
        <w:rPr>
          <w:rFonts w:ascii="Arial" w:hAnsi="Arial" w:cs="Arial"/>
        </w:rPr>
        <w:br/>
      </w:r>
      <w:r w:rsidRPr="00FB2E3C">
        <w:rPr>
          <w:rFonts w:ascii="Arial" w:hAnsi="Arial" w:cs="Arial"/>
          <w:b/>
          <w:sz w:val="20"/>
          <w:szCs w:val="16"/>
        </w:rPr>
        <w:t>Figura 1.</w:t>
      </w:r>
      <w:r w:rsidR="00FB2E3C" w:rsidRPr="00FB2E3C">
        <w:rPr>
          <w:rFonts w:ascii="Arial" w:hAnsi="Arial" w:cs="Arial"/>
          <w:b/>
          <w:sz w:val="20"/>
          <w:szCs w:val="16"/>
        </w:rPr>
        <w:t xml:space="preserve"> Factores relacionados con la </w:t>
      </w:r>
      <w:r w:rsidR="00720F64">
        <w:rPr>
          <w:rFonts w:ascii="Arial" w:hAnsi="Arial" w:cs="Arial"/>
          <w:b/>
          <w:sz w:val="20"/>
          <w:szCs w:val="16"/>
        </w:rPr>
        <w:t>Automedicación</w:t>
      </w:r>
    </w:p>
    <w:p w:rsidR="004F5A47" w:rsidRDefault="004F5A47" w:rsidP="004F5A47">
      <w:pPr>
        <w:spacing w:line="360" w:lineRule="auto"/>
        <w:jc w:val="both"/>
        <w:rPr>
          <w:rFonts w:ascii="Arial" w:hAnsi="Arial" w:cs="Arial"/>
          <w:sz w:val="24"/>
          <w:szCs w:val="24"/>
        </w:rPr>
      </w:pPr>
      <w:r>
        <w:rPr>
          <w:rFonts w:ascii="Arial" w:hAnsi="Arial" w:cs="Arial"/>
          <w:sz w:val="24"/>
          <w:szCs w:val="24"/>
        </w:rPr>
        <w:t xml:space="preserve">De acuerdo con investigaciones más recientes, la </w:t>
      </w:r>
      <w:r w:rsidR="00720F64">
        <w:rPr>
          <w:rFonts w:ascii="Arial" w:hAnsi="Arial" w:cs="Arial"/>
          <w:sz w:val="24"/>
          <w:szCs w:val="24"/>
        </w:rPr>
        <w:t>Automedicación</w:t>
      </w:r>
      <w:r w:rsidRPr="00A525C9">
        <w:rPr>
          <w:rFonts w:ascii="Arial" w:hAnsi="Arial" w:cs="Arial"/>
          <w:sz w:val="24"/>
          <w:szCs w:val="24"/>
        </w:rPr>
        <w:t xml:space="preserve"> es un comportamiento individual de consumo, consistente en la autoadministración o administración a individuos a cargo, de medicamentos (en el más amplio espectro incluyendo productos naturales) por fuera de la prescripción, o alterando la prescripción, con la función original de autocuidado de la salud u otras diferentes como el aumento del rendimiento físico o cognitivo (dopaje), el uso recreativo, el uso cosmético, terminación de la vida, entre otros, aprovechando siempre sus principios activos farmacológicos</w:t>
      </w:r>
      <w:r>
        <w:rPr>
          <w:rStyle w:val="Refdenotaalpie"/>
          <w:rFonts w:ascii="Arial" w:hAnsi="Arial" w:cs="Arial"/>
          <w:sz w:val="24"/>
          <w:szCs w:val="24"/>
        </w:rPr>
        <w:footnoteReference w:id="14"/>
      </w:r>
      <w:r>
        <w:rPr>
          <w:rFonts w:ascii="Arial" w:hAnsi="Arial" w:cs="Arial"/>
          <w:sz w:val="24"/>
          <w:szCs w:val="24"/>
        </w:rPr>
        <w:t>.</w:t>
      </w:r>
    </w:p>
    <w:p w:rsidR="004F5A47" w:rsidRDefault="004F5A47" w:rsidP="004F5A47">
      <w:pPr>
        <w:spacing w:line="360" w:lineRule="auto"/>
        <w:jc w:val="both"/>
        <w:rPr>
          <w:rFonts w:ascii="Arial" w:hAnsi="Arial" w:cs="Arial"/>
          <w:sz w:val="24"/>
          <w:szCs w:val="24"/>
        </w:rPr>
      </w:pPr>
      <w:r>
        <w:rPr>
          <w:rFonts w:ascii="Arial" w:hAnsi="Arial" w:cs="Arial"/>
          <w:sz w:val="24"/>
          <w:szCs w:val="24"/>
        </w:rPr>
        <w:t xml:space="preserve">Como fenómeno de salud pública la </w:t>
      </w:r>
      <w:r w:rsidR="00720F64">
        <w:rPr>
          <w:rFonts w:ascii="Arial" w:hAnsi="Arial" w:cs="Arial"/>
          <w:sz w:val="24"/>
          <w:szCs w:val="24"/>
        </w:rPr>
        <w:t>Automedicación</w:t>
      </w:r>
      <w:r>
        <w:rPr>
          <w:rFonts w:ascii="Arial" w:hAnsi="Arial" w:cs="Arial"/>
          <w:sz w:val="24"/>
          <w:szCs w:val="24"/>
        </w:rPr>
        <w:t xml:space="preserve">, </w:t>
      </w:r>
      <w:r w:rsidRPr="001A65AA">
        <w:rPr>
          <w:rFonts w:ascii="Arial" w:hAnsi="Arial" w:cs="Arial"/>
          <w:sz w:val="24"/>
          <w:szCs w:val="24"/>
        </w:rPr>
        <w:t xml:space="preserve">en el caso de los humanos, está virando en las últimas décadas hacia un </w:t>
      </w:r>
      <w:r w:rsidR="00720F64">
        <w:rPr>
          <w:rFonts w:ascii="Arial" w:hAnsi="Arial" w:cs="Arial"/>
          <w:sz w:val="24"/>
          <w:szCs w:val="24"/>
        </w:rPr>
        <w:t>significativo</w:t>
      </w:r>
      <w:r w:rsidRPr="001A65AA">
        <w:rPr>
          <w:rFonts w:ascii="Arial" w:hAnsi="Arial" w:cs="Arial"/>
          <w:sz w:val="24"/>
          <w:szCs w:val="24"/>
        </w:rPr>
        <w:t xml:space="preserve"> problema de salud pública global. De la mano de la publicidad (formal o informal) y el mercadeo de los medicamentos, aumentan los casos de intoxicación y muerte de personas por abuso en el consumo de medicamentos, sean de prescripción o de venta libre. No queda duda de que vivimos ahora en una “sociedad medicalizada”, independientemente del grado de acceso de las personas a los </w:t>
      </w:r>
      <w:r>
        <w:rPr>
          <w:rFonts w:ascii="Arial" w:hAnsi="Arial" w:cs="Arial"/>
          <w:sz w:val="24"/>
          <w:szCs w:val="24"/>
        </w:rPr>
        <w:t>servicios de salud</w:t>
      </w:r>
      <w:r>
        <w:rPr>
          <w:rStyle w:val="Refdenotaalpie"/>
          <w:rFonts w:ascii="Arial" w:hAnsi="Arial" w:cs="Arial"/>
          <w:sz w:val="24"/>
          <w:szCs w:val="24"/>
        </w:rPr>
        <w:footnoteReference w:id="15"/>
      </w:r>
      <w:r>
        <w:rPr>
          <w:rFonts w:ascii="Arial" w:hAnsi="Arial" w:cs="Arial"/>
          <w:sz w:val="24"/>
          <w:szCs w:val="24"/>
        </w:rPr>
        <w:t>.</w:t>
      </w:r>
    </w:p>
    <w:p w:rsidR="004F5A47" w:rsidRDefault="004F5A47" w:rsidP="004F5A47">
      <w:pPr>
        <w:spacing w:line="360" w:lineRule="auto"/>
        <w:jc w:val="both"/>
        <w:rPr>
          <w:rFonts w:ascii="Arial" w:hAnsi="Arial" w:cs="Arial"/>
          <w:sz w:val="24"/>
        </w:rPr>
      </w:pPr>
      <w:r>
        <w:rPr>
          <w:rFonts w:ascii="Arial" w:hAnsi="Arial" w:cs="Arial"/>
          <w:sz w:val="24"/>
        </w:rPr>
        <w:t>L</w:t>
      </w:r>
      <w:r w:rsidRPr="00B21FF0">
        <w:rPr>
          <w:rFonts w:ascii="Arial" w:hAnsi="Arial" w:cs="Arial"/>
          <w:sz w:val="24"/>
        </w:rPr>
        <w:t xml:space="preserve">a </w:t>
      </w:r>
      <w:r w:rsidR="00720F64">
        <w:rPr>
          <w:rFonts w:ascii="Arial" w:hAnsi="Arial" w:cs="Arial"/>
          <w:sz w:val="24"/>
        </w:rPr>
        <w:t>Automedicación</w:t>
      </w:r>
      <w:r w:rsidRPr="00B21FF0">
        <w:rPr>
          <w:rFonts w:ascii="Arial" w:hAnsi="Arial" w:cs="Arial"/>
          <w:sz w:val="24"/>
        </w:rPr>
        <w:t xml:space="preserve"> se ha convertido en una práctica creciente en la población mundial. Este fenómeno ha sido promovido como una forma de autocuidado, con impacto positivo en la reducción del gasto dentro de los sistemas de salud; sin embargo, también se ve con preocupación, por los potenciales efectos negativos relacionados con diagnósticos y manejos inadecuados, que pueden afectar la salud de los individuos. </w:t>
      </w:r>
    </w:p>
    <w:p w:rsidR="004F5A47" w:rsidRDefault="004F5A47" w:rsidP="004F5A47">
      <w:pPr>
        <w:spacing w:line="360" w:lineRule="auto"/>
        <w:jc w:val="both"/>
        <w:rPr>
          <w:rFonts w:ascii="Arial" w:hAnsi="Arial" w:cs="Arial"/>
          <w:sz w:val="24"/>
        </w:rPr>
      </w:pPr>
      <w:r>
        <w:rPr>
          <w:rFonts w:ascii="Arial" w:hAnsi="Arial" w:cs="Arial"/>
          <w:sz w:val="24"/>
        </w:rPr>
        <w:t>E</w:t>
      </w:r>
      <w:r w:rsidRPr="00B21FF0">
        <w:rPr>
          <w:rFonts w:ascii="Arial" w:hAnsi="Arial" w:cs="Arial"/>
          <w:sz w:val="24"/>
        </w:rPr>
        <w:t xml:space="preserve">n las últimas cuatro décadas ha habido una evolución tanto de los términos como de las definiciones relacionadas con </w:t>
      </w:r>
      <w:r w:rsidR="00720F64">
        <w:rPr>
          <w:rFonts w:ascii="Arial" w:hAnsi="Arial" w:cs="Arial"/>
          <w:sz w:val="24"/>
        </w:rPr>
        <w:t>Automedicación</w:t>
      </w:r>
      <w:r w:rsidRPr="00B21FF0">
        <w:rPr>
          <w:rFonts w:ascii="Arial" w:hAnsi="Arial" w:cs="Arial"/>
          <w:sz w:val="24"/>
        </w:rPr>
        <w:t xml:space="preserve">, desde un concepto muy simple que implica la ausencia de prescripción médica, hasta conceptos más complejos que abarcan conductas de muy diversa índole; aun aquellas en las que media un acto de prescripción no seguido o no cumplido por el paciente. </w:t>
      </w:r>
      <w:r>
        <w:rPr>
          <w:rFonts w:ascii="Arial" w:hAnsi="Arial" w:cs="Arial"/>
          <w:sz w:val="24"/>
        </w:rPr>
        <w:t>En ese sentido los Doctores Á</w:t>
      </w:r>
      <w:r w:rsidRPr="00B21FF0">
        <w:rPr>
          <w:rFonts w:ascii="Arial" w:hAnsi="Arial" w:cs="Arial"/>
          <w:sz w:val="24"/>
        </w:rPr>
        <w:t>ngela María Ruiz-Sternberg, M.D</w:t>
      </w:r>
      <w:r>
        <w:rPr>
          <w:rFonts w:ascii="Arial" w:hAnsi="Arial" w:cs="Arial"/>
          <w:sz w:val="24"/>
        </w:rPr>
        <w:t xml:space="preserve"> y </w:t>
      </w:r>
      <w:r w:rsidRPr="00B21FF0">
        <w:rPr>
          <w:rFonts w:ascii="Arial" w:hAnsi="Arial" w:cs="Arial"/>
          <w:sz w:val="24"/>
        </w:rPr>
        <w:t xml:space="preserve">Andrés </w:t>
      </w:r>
      <w:r>
        <w:rPr>
          <w:rFonts w:ascii="Arial" w:hAnsi="Arial" w:cs="Arial"/>
          <w:sz w:val="24"/>
        </w:rPr>
        <w:t xml:space="preserve">Pérez-Acosta, </w:t>
      </w:r>
      <w:proofErr w:type="spellStart"/>
      <w:r>
        <w:rPr>
          <w:rFonts w:ascii="Arial" w:hAnsi="Arial" w:cs="Arial"/>
          <w:sz w:val="24"/>
        </w:rPr>
        <w:t>Ph.D</w:t>
      </w:r>
      <w:proofErr w:type="spellEnd"/>
      <w:r>
        <w:rPr>
          <w:rFonts w:ascii="Arial" w:hAnsi="Arial" w:cs="Arial"/>
          <w:sz w:val="24"/>
        </w:rPr>
        <w:t xml:space="preserve">. han propuesto </w:t>
      </w:r>
      <w:r w:rsidRPr="00B21FF0">
        <w:rPr>
          <w:rFonts w:ascii="Arial" w:hAnsi="Arial" w:cs="Arial"/>
          <w:sz w:val="24"/>
        </w:rPr>
        <w:t>clasifica</w:t>
      </w:r>
      <w:r>
        <w:rPr>
          <w:rFonts w:ascii="Arial" w:hAnsi="Arial" w:cs="Arial"/>
          <w:sz w:val="24"/>
        </w:rPr>
        <w:t>r</w:t>
      </w:r>
      <w:r w:rsidRPr="00B21FF0">
        <w:rPr>
          <w:rFonts w:ascii="Arial" w:hAnsi="Arial" w:cs="Arial"/>
          <w:sz w:val="24"/>
        </w:rPr>
        <w:t xml:space="preserve"> en cuatro grupos</w:t>
      </w:r>
      <w:r>
        <w:rPr>
          <w:rFonts w:ascii="Arial" w:hAnsi="Arial" w:cs="Arial"/>
          <w:sz w:val="24"/>
        </w:rPr>
        <w:t xml:space="preserve"> este comportamiento</w:t>
      </w:r>
      <w:r w:rsidRPr="00B21FF0">
        <w:rPr>
          <w:rFonts w:ascii="Arial" w:hAnsi="Arial" w:cs="Arial"/>
          <w:sz w:val="24"/>
        </w:rPr>
        <w:t xml:space="preserve">: a. </w:t>
      </w:r>
      <w:r w:rsidR="00720F64">
        <w:rPr>
          <w:rFonts w:ascii="Arial" w:hAnsi="Arial" w:cs="Arial"/>
          <w:sz w:val="24"/>
        </w:rPr>
        <w:t>Automedicación</w:t>
      </w:r>
      <w:r w:rsidRPr="00B21FF0">
        <w:rPr>
          <w:rFonts w:ascii="Arial" w:hAnsi="Arial" w:cs="Arial"/>
          <w:sz w:val="24"/>
        </w:rPr>
        <w:t xml:space="preserve">, b. autocuidado, c. preparaciones farmacéuticas y medicamentos, y d. </w:t>
      </w:r>
      <w:r>
        <w:rPr>
          <w:rFonts w:ascii="Arial" w:hAnsi="Arial" w:cs="Arial"/>
          <w:sz w:val="24"/>
        </w:rPr>
        <w:t>prescripción</w:t>
      </w:r>
      <w:r>
        <w:rPr>
          <w:rStyle w:val="Refdenotaalpie"/>
          <w:rFonts w:ascii="Arial" w:hAnsi="Arial" w:cs="Arial"/>
          <w:sz w:val="24"/>
        </w:rPr>
        <w:footnoteReference w:id="16"/>
      </w:r>
      <w:r>
        <w:rPr>
          <w:rFonts w:ascii="Arial" w:hAnsi="Arial" w:cs="Arial"/>
          <w:sz w:val="24"/>
        </w:rPr>
        <w:t>.</w:t>
      </w:r>
    </w:p>
    <w:p w:rsidR="004F5A47" w:rsidRDefault="004F5A47" w:rsidP="004F5A47">
      <w:pPr>
        <w:spacing w:line="360" w:lineRule="auto"/>
        <w:jc w:val="both"/>
        <w:rPr>
          <w:rFonts w:ascii="Arial" w:hAnsi="Arial" w:cs="Arial"/>
          <w:sz w:val="24"/>
        </w:rPr>
      </w:pPr>
      <w:r>
        <w:rPr>
          <w:rFonts w:ascii="Arial" w:hAnsi="Arial" w:cs="Arial"/>
          <w:sz w:val="24"/>
        </w:rPr>
        <w:t>Señalan los Doctores Ruíz y Pérez, que e</w:t>
      </w:r>
      <w:r w:rsidRPr="00563054">
        <w:rPr>
          <w:rFonts w:ascii="Arial" w:hAnsi="Arial" w:cs="Arial"/>
          <w:sz w:val="24"/>
        </w:rPr>
        <w:t xml:space="preserve">xiste un conjunto amplio de fenómenos relacionados con </w:t>
      </w:r>
      <w:r>
        <w:rPr>
          <w:rFonts w:ascii="Arial" w:hAnsi="Arial" w:cs="Arial"/>
          <w:sz w:val="24"/>
        </w:rPr>
        <w:t xml:space="preserve">la distribución de medicamentos </w:t>
      </w:r>
      <w:r w:rsidRPr="00563054">
        <w:rPr>
          <w:rFonts w:ascii="Arial" w:hAnsi="Arial" w:cs="Arial"/>
          <w:sz w:val="24"/>
        </w:rPr>
        <w:t>sin que medie una fórmula médica, comenzando por las opciones legales como la compra de medicamentos de venta libre, denominados OTC (</w:t>
      </w:r>
      <w:proofErr w:type="spellStart"/>
      <w:r w:rsidRPr="00563054">
        <w:rPr>
          <w:rFonts w:ascii="Arial" w:hAnsi="Arial" w:cs="Arial"/>
          <w:sz w:val="24"/>
        </w:rPr>
        <w:t>Over-The-Counter</w:t>
      </w:r>
      <w:proofErr w:type="spellEnd"/>
      <w:r w:rsidRPr="00563054">
        <w:rPr>
          <w:rFonts w:ascii="Arial" w:hAnsi="Arial" w:cs="Arial"/>
          <w:sz w:val="24"/>
        </w:rPr>
        <w:t xml:space="preserve">). Dentro de este espectro cabe también la medicación sin un acto médico formal previo (por ejemplo, a través de una consulta telefónica o por consejo de un dependiente de farmacia) y la auto-administración de medicamentos que exigen prescripción. </w:t>
      </w:r>
    </w:p>
    <w:p w:rsidR="004F5A47" w:rsidRPr="00563054" w:rsidRDefault="004F5A47" w:rsidP="004F5A47">
      <w:pPr>
        <w:spacing w:line="360" w:lineRule="auto"/>
        <w:jc w:val="both"/>
        <w:rPr>
          <w:rFonts w:ascii="Arial" w:hAnsi="Arial" w:cs="Arial"/>
          <w:sz w:val="28"/>
        </w:rPr>
      </w:pPr>
      <w:r w:rsidRPr="00563054">
        <w:rPr>
          <w:rFonts w:ascii="Arial" w:hAnsi="Arial" w:cs="Arial"/>
          <w:sz w:val="24"/>
        </w:rPr>
        <w:t>Los medicamentos OTC se utilizan en el manejo de más de 450 condiciones médicas que tienen una frecuencia de presentación altísima y que representan un gran costo para los sistemas sanitarios. En general, estos medicamentos tienen un margen terapéutico amplio y se utilizan para el manejo de síntomas o enfermedades leves</w:t>
      </w:r>
      <w:r>
        <w:rPr>
          <w:rFonts w:ascii="Arial" w:hAnsi="Arial" w:cs="Arial"/>
          <w:sz w:val="24"/>
        </w:rPr>
        <w:t>. Por esta razón es importante para la salud de la sociedad colombiana la regulación de su venta y el control en su publicidad, especialmente en horas “prime”.</w:t>
      </w:r>
    </w:p>
    <w:p w:rsidR="004F5A47" w:rsidRPr="004F5A47" w:rsidRDefault="004F5A47" w:rsidP="004F5A47">
      <w:pPr>
        <w:numPr>
          <w:ilvl w:val="1"/>
          <w:numId w:val="0"/>
        </w:numPr>
        <w:spacing w:after="200" w:line="276" w:lineRule="auto"/>
        <w:jc w:val="both"/>
        <w:rPr>
          <w:rFonts w:ascii="Arial" w:eastAsia="Arial Unicode MS" w:hAnsi="Arial" w:cs="Arial"/>
          <w:b/>
          <w:iCs/>
          <w:spacing w:val="15"/>
          <w:sz w:val="24"/>
          <w:szCs w:val="23"/>
          <w:lang w:val="es-ES_tradnl" w:eastAsia="es-ES"/>
        </w:rPr>
      </w:pPr>
      <w:r w:rsidRPr="004F5A47">
        <w:rPr>
          <w:rFonts w:ascii="Arial" w:eastAsia="Arial Unicode MS" w:hAnsi="Arial" w:cs="Arial"/>
          <w:b/>
          <w:iCs/>
          <w:spacing w:val="15"/>
          <w:sz w:val="24"/>
          <w:szCs w:val="23"/>
          <w:lang w:val="es-ES_tradnl" w:eastAsia="es-ES"/>
        </w:rPr>
        <w:t xml:space="preserve">¿Cuál es la situación mortalidad </w:t>
      </w:r>
      <w:r>
        <w:rPr>
          <w:rFonts w:ascii="Arial" w:eastAsia="Arial Unicode MS" w:hAnsi="Arial" w:cs="Arial"/>
          <w:b/>
          <w:iCs/>
          <w:spacing w:val="15"/>
          <w:sz w:val="24"/>
          <w:szCs w:val="23"/>
          <w:lang w:val="es-ES_tradnl" w:eastAsia="es-ES"/>
        </w:rPr>
        <w:t xml:space="preserve">asociada con la </w:t>
      </w:r>
      <w:r w:rsidR="00720F64">
        <w:rPr>
          <w:rFonts w:ascii="Arial" w:eastAsia="Arial Unicode MS" w:hAnsi="Arial" w:cs="Arial"/>
          <w:b/>
          <w:iCs/>
          <w:spacing w:val="15"/>
          <w:sz w:val="24"/>
          <w:szCs w:val="23"/>
          <w:lang w:val="es-ES_tradnl" w:eastAsia="es-ES"/>
        </w:rPr>
        <w:t>Automedicación</w:t>
      </w:r>
      <w:r w:rsidRPr="004F5A47">
        <w:rPr>
          <w:rFonts w:ascii="Arial" w:eastAsia="Arial Unicode MS" w:hAnsi="Arial" w:cs="Arial"/>
          <w:b/>
          <w:iCs/>
          <w:spacing w:val="15"/>
          <w:sz w:val="24"/>
          <w:szCs w:val="23"/>
          <w:lang w:val="es-ES_tradnl" w:eastAsia="es-ES"/>
        </w:rPr>
        <w:t>?</w:t>
      </w:r>
    </w:p>
    <w:p w:rsidR="004F5A47" w:rsidRPr="004F5A47" w:rsidRDefault="004F5A47" w:rsidP="004F5A47">
      <w:pPr>
        <w:pStyle w:val="NormalWeb"/>
        <w:shd w:val="clear" w:color="auto" w:fill="FFFFFF"/>
        <w:spacing w:line="360" w:lineRule="auto"/>
        <w:jc w:val="both"/>
        <w:rPr>
          <w:rFonts w:ascii="Arial" w:hAnsi="Arial" w:cs="Arial"/>
        </w:rPr>
      </w:pPr>
      <w:r w:rsidRPr="004F5A47">
        <w:rPr>
          <w:rFonts w:ascii="Arial" w:hAnsi="Arial" w:cs="Arial"/>
        </w:rPr>
        <w:t>Se ha encontrado que el consumo de sustancias químicas para causarse daño, obedece muchas veces a estrés en jóvenes adultos, en países industrializados se utilizan para este fin medicamentos como analgésicos, tranquilizantes o antidepresivos</w:t>
      </w:r>
      <w:r>
        <w:rPr>
          <w:rStyle w:val="Refdenotaalpie"/>
          <w:rFonts w:ascii="Arial" w:hAnsi="Arial" w:cs="Arial"/>
        </w:rPr>
        <w:footnoteReference w:id="17"/>
      </w:r>
    </w:p>
    <w:p w:rsidR="00F76F1B" w:rsidRDefault="00F76F1B" w:rsidP="004F5A47">
      <w:pPr>
        <w:pStyle w:val="NormalWeb"/>
        <w:shd w:val="clear" w:color="auto" w:fill="FFFFFF"/>
        <w:spacing w:line="360" w:lineRule="auto"/>
        <w:jc w:val="both"/>
        <w:rPr>
          <w:rFonts w:ascii="Arial" w:hAnsi="Arial" w:cs="Arial"/>
        </w:rPr>
      </w:pPr>
      <w:r w:rsidRPr="00F76F1B">
        <w:rPr>
          <w:rFonts w:ascii="Arial" w:hAnsi="Arial" w:cs="Arial"/>
        </w:rPr>
        <w:t xml:space="preserve">El informe mundial sobre prevención de las lesiones en los niños, señala que el hogar y sus alrededores pueden ser lugares potencialmente peligrosos para </w:t>
      </w:r>
      <w:r w:rsidR="00AB5253">
        <w:rPr>
          <w:rFonts w:ascii="Arial" w:hAnsi="Arial" w:cs="Arial"/>
        </w:rPr>
        <w:t>ellos</w:t>
      </w:r>
      <w:r w:rsidRPr="00F76F1B">
        <w:rPr>
          <w:rFonts w:ascii="Arial" w:hAnsi="Arial" w:cs="Arial"/>
        </w:rPr>
        <w:t xml:space="preserve"> en cuanto a la presentación de intoxicaciones accidentales, en primer lugar</w:t>
      </w:r>
      <w:r>
        <w:rPr>
          <w:rFonts w:ascii="Arial" w:hAnsi="Arial" w:cs="Arial"/>
        </w:rPr>
        <w:t xml:space="preserve"> </w:t>
      </w:r>
      <w:r w:rsidR="009F5203" w:rsidRPr="00F76F1B">
        <w:rPr>
          <w:rFonts w:ascii="Arial" w:hAnsi="Arial" w:cs="Arial"/>
        </w:rPr>
        <w:t xml:space="preserve">por </w:t>
      </w:r>
      <w:r w:rsidR="009F5203">
        <w:rPr>
          <w:rFonts w:ascii="Arial" w:hAnsi="Arial" w:cs="Arial"/>
        </w:rPr>
        <w:t>medicamentos</w:t>
      </w:r>
      <w:r w:rsidRPr="00F76F1B">
        <w:rPr>
          <w:rFonts w:ascii="Arial" w:hAnsi="Arial" w:cs="Arial"/>
        </w:rPr>
        <w:t xml:space="preserve"> de venta libre, seguidos por medicamentos de venta con fórmula médica</w:t>
      </w:r>
      <w:r>
        <w:rPr>
          <w:rStyle w:val="Refdenotaalpie"/>
          <w:rFonts w:ascii="Arial" w:hAnsi="Arial" w:cs="Arial"/>
        </w:rPr>
        <w:footnoteReference w:id="18"/>
      </w:r>
    </w:p>
    <w:p w:rsidR="00FB2E3C" w:rsidRPr="00FB2E3C" w:rsidRDefault="00FB2E3C" w:rsidP="004F5A47">
      <w:pPr>
        <w:pStyle w:val="NormalWeb"/>
        <w:shd w:val="clear" w:color="auto" w:fill="FFFFFF"/>
        <w:spacing w:line="360" w:lineRule="auto"/>
        <w:jc w:val="both"/>
        <w:rPr>
          <w:rFonts w:ascii="Arial" w:hAnsi="Arial" w:cs="Arial"/>
          <w:color w:val="000000" w:themeColor="text1"/>
        </w:rPr>
      </w:pPr>
      <w:r w:rsidRPr="00FB2E3C">
        <w:rPr>
          <w:rFonts w:ascii="Arial" w:hAnsi="Arial" w:cs="Arial"/>
          <w:color w:val="000000" w:themeColor="text1"/>
          <w:shd w:val="clear" w:color="auto" w:fill="FFFFFF"/>
        </w:rPr>
        <w:t>La Clínica de la </w:t>
      </w:r>
      <w:r w:rsidRPr="00B36C65">
        <w:rPr>
          <w:rFonts w:ascii="Arial" w:hAnsi="Arial" w:cs="Arial"/>
          <w:color w:val="000000" w:themeColor="text1"/>
          <w:bdr w:val="none" w:sz="0" w:space="0" w:color="auto" w:frame="1"/>
          <w:shd w:val="clear" w:color="auto" w:fill="FFFFFF"/>
        </w:rPr>
        <w:t>Universidad de La Sabana</w:t>
      </w:r>
      <w:r w:rsidRPr="00FB2E3C">
        <w:rPr>
          <w:rFonts w:ascii="Arial" w:hAnsi="Arial" w:cs="Arial"/>
          <w:color w:val="000000" w:themeColor="text1"/>
          <w:shd w:val="clear" w:color="auto" w:fill="FFFFFF"/>
        </w:rPr>
        <w:t> </w:t>
      </w:r>
      <w:r w:rsidR="00B36C65">
        <w:rPr>
          <w:rFonts w:ascii="Arial" w:hAnsi="Arial" w:cs="Arial"/>
          <w:color w:val="000000" w:themeColor="text1"/>
          <w:shd w:val="clear" w:color="auto" w:fill="FFFFFF"/>
        </w:rPr>
        <w:t>publicó en 2017 su investigación sobre</w:t>
      </w:r>
      <w:r w:rsidRPr="00FB2E3C">
        <w:rPr>
          <w:rFonts w:ascii="Arial" w:hAnsi="Arial" w:cs="Arial"/>
          <w:color w:val="000000" w:themeColor="text1"/>
          <w:shd w:val="clear" w:color="auto" w:fill="FFFFFF"/>
        </w:rPr>
        <w:t xml:space="preserve"> la relación entre los problemas de salud y la mala administración de medicamentos, descubriendo que esta mala combinación es la sexta causa de muerte en Colombia</w:t>
      </w:r>
      <w:r w:rsidR="00B36C65">
        <w:rPr>
          <w:rStyle w:val="Refdenotaalpie"/>
          <w:rFonts w:ascii="Arial" w:hAnsi="Arial" w:cs="Arial"/>
          <w:color w:val="000000" w:themeColor="text1"/>
          <w:shd w:val="clear" w:color="auto" w:fill="FFFFFF"/>
        </w:rPr>
        <w:footnoteReference w:id="19"/>
      </w:r>
      <w:r w:rsidR="00B36C65">
        <w:rPr>
          <w:rFonts w:ascii="Arial" w:hAnsi="Arial" w:cs="Arial"/>
          <w:color w:val="000000" w:themeColor="text1"/>
          <w:shd w:val="clear" w:color="auto" w:fill="FFFFFF"/>
        </w:rPr>
        <w:t xml:space="preserve"> mientras que el SIVIGILA del Instituto Nacional de Salud</w:t>
      </w:r>
      <w:r w:rsidR="00720F64">
        <w:rPr>
          <w:rFonts w:ascii="Arial" w:hAnsi="Arial" w:cs="Arial"/>
          <w:color w:val="000000" w:themeColor="text1"/>
          <w:shd w:val="clear" w:color="auto" w:fill="FFFFFF"/>
        </w:rPr>
        <w:t xml:space="preserve">, </w:t>
      </w:r>
      <w:r w:rsidR="00B36C65">
        <w:rPr>
          <w:rFonts w:ascii="Arial" w:hAnsi="Arial" w:cs="Arial"/>
          <w:color w:val="000000" w:themeColor="text1"/>
          <w:shd w:val="clear" w:color="auto" w:fill="FFFFFF"/>
        </w:rPr>
        <w:t xml:space="preserve">demostró para el mismo año información más detallada sobre factores asociados a intoxicación, donde </w:t>
      </w:r>
      <w:r w:rsidR="00720F64">
        <w:rPr>
          <w:rFonts w:ascii="Arial" w:hAnsi="Arial" w:cs="Arial"/>
          <w:color w:val="000000" w:themeColor="text1"/>
          <w:shd w:val="clear" w:color="auto" w:fill="FFFFFF"/>
        </w:rPr>
        <w:t>la ingesta de</w:t>
      </w:r>
      <w:r w:rsidR="00B36C65">
        <w:rPr>
          <w:rFonts w:ascii="Arial" w:hAnsi="Arial" w:cs="Arial"/>
          <w:color w:val="000000" w:themeColor="text1"/>
          <w:shd w:val="clear" w:color="auto" w:fill="FFFFFF"/>
        </w:rPr>
        <w:t xml:space="preserve"> medicamentos aparecen entre las primeras causas.</w:t>
      </w:r>
    </w:p>
    <w:p w:rsidR="00F76F1B" w:rsidRDefault="00F76F1B" w:rsidP="00F76F1B">
      <w:pPr>
        <w:pStyle w:val="NormalWeb"/>
        <w:shd w:val="clear" w:color="auto" w:fill="FFFFFF"/>
        <w:spacing w:line="360" w:lineRule="auto"/>
        <w:jc w:val="center"/>
        <w:rPr>
          <w:rFonts w:ascii="Arial" w:hAnsi="Arial" w:cs="Arial"/>
          <w:sz w:val="20"/>
          <w:szCs w:val="20"/>
        </w:rPr>
      </w:pPr>
      <w:r w:rsidRPr="00F76F1B">
        <w:rPr>
          <w:rFonts w:ascii="Arial" w:hAnsi="Arial" w:cs="Arial"/>
          <w:sz w:val="20"/>
          <w:szCs w:val="20"/>
        </w:rPr>
        <w:t>Tabla 1. Número de casos de intoxicaciones por grupo de sustancia, Colombia, 2017</w:t>
      </w:r>
      <w:r>
        <w:rPr>
          <w:rFonts w:ascii="Arial" w:hAnsi="Arial" w:cs="Arial"/>
          <w:sz w:val="20"/>
          <w:szCs w:val="20"/>
        </w:rPr>
        <w:t>.</w:t>
      </w:r>
      <w:r>
        <w:rPr>
          <w:rFonts w:ascii="Arial" w:hAnsi="Arial" w:cs="Arial"/>
          <w:sz w:val="20"/>
          <w:szCs w:val="20"/>
        </w:rPr>
        <w:br/>
      </w:r>
      <w:r w:rsidRPr="00F76F1B">
        <w:rPr>
          <w:rFonts w:ascii="Arial" w:hAnsi="Arial" w:cs="Arial"/>
          <w:noProof/>
          <w:sz w:val="20"/>
          <w:szCs w:val="20"/>
        </w:rPr>
        <w:drawing>
          <wp:inline distT="0" distB="0" distL="0" distR="0">
            <wp:extent cx="4237726" cy="18756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1003" cy="1885921"/>
                    </a:xfrm>
                    <a:prstGeom prst="rect">
                      <a:avLst/>
                    </a:prstGeom>
                    <a:noFill/>
                    <a:ln>
                      <a:noFill/>
                    </a:ln>
                  </pic:spPr>
                </pic:pic>
              </a:graphicData>
            </a:graphic>
          </wp:inline>
        </w:drawing>
      </w:r>
    </w:p>
    <w:p w:rsidR="00F76F1B" w:rsidRDefault="00FB2E3C" w:rsidP="00F76F1B">
      <w:pPr>
        <w:pStyle w:val="NormalWeb"/>
        <w:shd w:val="clear" w:color="auto" w:fill="FFFFFF"/>
        <w:spacing w:line="360" w:lineRule="auto"/>
        <w:jc w:val="both"/>
        <w:rPr>
          <w:rFonts w:ascii="Arial" w:hAnsi="Arial" w:cs="Arial"/>
        </w:rPr>
      </w:pPr>
      <w:r w:rsidRPr="00FB2E3C">
        <w:rPr>
          <w:rFonts w:ascii="Arial" w:hAnsi="Arial" w:cs="Arial"/>
        </w:rPr>
        <w:t xml:space="preserve">Las intoxicaciones por medicamentos, sustancias psicoactivas y plaguicidas cuentan con las mayores proporciones respectivamente en Colombia. Las entidades territoriales de Bogotá, Antioquia, Valle del Cauca, Caldas, Nariño y Cundinamarca, cuentan con la mayor notificación al </w:t>
      </w:r>
      <w:proofErr w:type="spellStart"/>
      <w:r w:rsidRPr="00FB2E3C">
        <w:rPr>
          <w:rFonts w:ascii="Arial" w:hAnsi="Arial" w:cs="Arial"/>
        </w:rPr>
        <w:t>Sivigila</w:t>
      </w:r>
      <w:proofErr w:type="spellEnd"/>
      <w:r w:rsidRPr="00FB2E3C">
        <w:rPr>
          <w:rFonts w:ascii="Arial" w:hAnsi="Arial" w:cs="Arial"/>
        </w:rPr>
        <w:t xml:space="preserve"> respectivamente. Sin embargo, los departamentos de Caldas, Quindío, Putumayo, Cartagena, Huila y Risaralda, en su orden presentan las mayores incidencias, lo que posiblemente obedece a factores como baja población o alta ocurrencia de eventos de intoxicación para ciertos grupos particulares de sustancias químicas, así como un fortalecimiento en la notificación de los mismos.</w:t>
      </w:r>
    </w:p>
    <w:p w:rsidR="001874C0" w:rsidRDefault="001874C0" w:rsidP="00F76F1B">
      <w:pPr>
        <w:pStyle w:val="NormalWeb"/>
        <w:shd w:val="clear" w:color="auto" w:fill="FFFFFF"/>
        <w:spacing w:line="360" w:lineRule="auto"/>
        <w:jc w:val="both"/>
        <w:rPr>
          <w:rFonts w:ascii="Arial" w:hAnsi="Arial" w:cs="Arial"/>
        </w:rPr>
      </w:pPr>
      <w:r>
        <w:rPr>
          <w:rFonts w:ascii="Arial" w:hAnsi="Arial" w:cs="Arial"/>
        </w:rPr>
        <w:t>Para 2017 e</w:t>
      </w:r>
      <w:r w:rsidR="00F76F1B" w:rsidRPr="00F76F1B">
        <w:rPr>
          <w:rFonts w:ascii="Arial" w:hAnsi="Arial" w:cs="Arial"/>
        </w:rPr>
        <w:t>l 57,7% (22</w:t>
      </w:r>
      <w:r w:rsidR="00F76F1B">
        <w:rPr>
          <w:rFonts w:ascii="Arial" w:hAnsi="Arial" w:cs="Arial"/>
        </w:rPr>
        <w:t>.</w:t>
      </w:r>
      <w:r w:rsidR="00F76F1B" w:rsidRPr="00F76F1B">
        <w:rPr>
          <w:rFonts w:ascii="Arial" w:hAnsi="Arial" w:cs="Arial"/>
        </w:rPr>
        <w:t>916) de los casos correspondientes a los grupos de edad entre 10 a 29 años, con una concentración de eventos en el grupo entre 15 y 19 años con el 21,4% (8</w:t>
      </w:r>
      <w:r>
        <w:rPr>
          <w:rFonts w:ascii="Arial" w:hAnsi="Arial" w:cs="Arial"/>
        </w:rPr>
        <w:t>.</w:t>
      </w:r>
      <w:r w:rsidR="00F76F1B" w:rsidRPr="00F76F1B">
        <w:rPr>
          <w:rFonts w:ascii="Arial" w:hAnsi="Arial" w:cs="Arial"/>
        </w:rPr>
        <w:t>489 casos), los principales grupos de sustancias involucrad</w:t>
      </w:r>
      <w:r w:rsidR="00F76F1B">
        <w:rPr>
          <w:rFonts w:ascii="Arial" w:hAnsi="Arial" w:cs="Arial"/>
        </w:rPr>
        <w:t xml:space="preserve">as </w:t>
      </w:r>
      <w:r w:rsidR="00F76F1B" w:rsidRPr="00F76F1B">
        <w:rPr>
          <w:rFonts w:ascii="Arial" w:hAnsi="Arial" w:cs="Arial"/>
        </w:rPr>
        <w:t>corresponden a medicamentos y sustancias psicoactivas. Para el grupo de edad de 0 a 4 años el porcentaje de casos fue del 10,2% (4</w:t>
      </w:r>
      <w:r>
        <w:rPr>
          <w:rFonts w:ascii="Arial" w:hAnsi="Arial" w:cs="Arial"/>
        </w:rPr>
        <w:t>.</w:t>
      </w:r>
      <w:r w:rsidR="00F76F1B" w:rsidRPr="00F76F1B">
        <w:rPr>
          <w:rFonts w:ascii="Arial" w:hAnsi="Arial" w:cs="Arial"/>
        </w:rPr>
        <w:t xml:space="preserve">044 casos), para los casos notificados en estos grupos de edad, los grupos de sustancias que generaron el mayor número de notificación correspondieron a otras sustancias químicas, seguida de medicamentos (ver figura </w:t>
      </w:r>
      <w:r>
        <w:rPr>
          <w:rFonts w:ascii="Arial" w:hAnsi="Arial" w:cs="Arial"/>
        </w:rPr>
        <w:t>2</w:t>
      </w:r>
      <w:r w:rsidR="00F76F1B" w:rsidRPr="00F76F1B">
        <w:rPr>
          <w:rFonts w:ascii="Arial" w:hAnsi="Arial" w:cs="Arial"/>
        </w:rPr>
        <w:t>).</w:t>
      </w:r>
    </w:p>
    <w:p w:rsidR="001874C0" w:rsidRPr="00FB2E3C" w:rsidRDefault="001874C0" w:rsidP="001874C0">
      <w:pPr>
        <w:pStyle w:val="NormalWeb"/>
        <w:shd w:val="clear" w:color="auto" w:fill="FFFFFF"/>
        <w:spacing w:line="360" w:lineRule="auto"/>
        <w:jc w:val="center"/>
        <w:rPr>
          <w:rFonts w:ascii="Arial" w:hAnsi="Arial" w:cs="Arial"/>
          <w:b/>
          <w:sz w:val="20"/>
          <w:szCs w:val="20"/>
        </w:rPr>
      </w:pPr>
      <w:r w:rsidRPr="001874C0">
        <w:rPr>
          <w:rFonts w:ascii="Arial" w:hAnsi="Arial" w:cs="Arial"/>
          <w:noProof/>
        </w:rPr>
        <w:drawing>
          <wp:inline distT="0" distB="0" distL="0" distR="0">
            <wp:extent cx="5037572" cy="350818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909" cy="3516083"/>
                    </a:xfrm>
                    <a:prstGeom prst="rect">
                      <a:avLst/>
                    </a:prstGeom>
                    <a:noFill/>
                    <a:ln>
                      <a:noFill/>
                    </a:ln>
                  </pic:spPr>
                </pic:pic>
              </a:graphicData>
            </a:graphic>
          </wp:inline>
        </w:drawing>
      </w:r>
      <w:r>
        <w:rPr>
          <w:rFonts w:ascii="Arial" w:hAnsi="Arial" w:cs="Arial"/>
        </w:rPr>
        <w:br/>
      </w:r>
      <w:r w:rsidRPr="00FB2E3C">
        <w:rPr>
          <w:rFonts w:ascii="Arial" w:hAnsi="Arial" w:cs="Arial"/>
          <w:b/>
          <w:sz w:val="20"/>
          <w:szCs w:val="20"/>
        </w:rPr>
        <w:t>Figura 2.</w:t>
      </w:r>
      <w:r w:rsidR="00FB2E3C" w:rsidRPr="00FB2E3C">
        <w:rPr>
          <w:rFonts w:ascii="Arial" w:hAnsi="Arial" w:cs="Arial"/>
          <w:b/>
          <w:sz w:val="20"/>
          <w:szCs w:val="20"/>
        </w:rPr>
        <w:t xml:space="preserve"> </w:t>
      </w:r>
      <w:r w:rsidR="00FB2E3C" w:rsidRPr="00FB2E3C">
        <w:rPr>
          <w:rFonts w:ascii="Arial" w:hAnsi="Arial" w:cs="Arial"/>
          <w:iCs/>
          <w:sz w:val="20"/>
          <w:szCs w:val="20"/>
        </w:rPr>
        <w:t>Distribución porcentual de intoxicaciones según sexo, Colombia, 2017</w:t>
      </w:r>
    </w:p>
    <w:p w:rsidR="001874C0" w:rsidRDefault="001874C0" w:rsidP="001874C0">
      <w:pPr>
        <w:pStyle w:val="NormalWeb"/>
        <w:shd w:val="clear" w:color="auto" w:fill="FFFFFF"/>
        <w:spacing w:line="360" w:lineRule="auto"/>
        <w:jc w:val="both"/>
        <w:rPr>
          <w:rFonts w:ascii="Arial" w:hAnsi="Arial" w:cs="Arial"/>
          <w:szCs w:val="22"/>
        </w:rPr>
      </w:pPr>
      <w:r w:rsidRPr="001874C0">
        <w:rPr>
          <w:rFonts w:ascii="Arial" w:hAnsi="Arial" w:cs="Arial"/>
          <w:szCs w:val="22"/>
        </w:rPr>
        <w:t xml:space="preserve">En cuanto al régimen de afiliación al sistema de seguridad social en salud, la mayor cantidad de casos pertenece al subsidiado con el 47,1% (18 722 casos), seguido por el contributivo con el 40,6% (16 132 casos), el 7,3% (2 884 casos) no presentan ningún tipo de afiliación, el 2,8% (1 111 casos) pertenecen al especial y el 1,0% (397 casos) pertenecen a excepción (ver tabla </w:t>
      </w:r>
      <w:r w:rsidR="009F5203">
        <w:rPr>
          <w:rFonts w:ascii="Arial" w:hAnsi="Arial" w:cs="Arial"/>
          <w:szCs w:val="22"/>
        </w:rPr>
        <w:t>2</w:t>
      </w:r>
      <w:r w:rsidRPr="001874C0">
        <w:rPr>
          <w:rFonts w:ascii="Arial" w:hAnsi="Arial" w:cs="Arial"/>
          <w:szCs w:val="22"/>
        </w:rPr>
        <w:t>).</w:t>
      </w:r>
    </w:p>
    <w:p w:rsidR="009F5203" w:rsidRDefault="009F5203" w:rsidP="009F5203">
      <w:pPr>
        <w:pStyle w:val="NormalWeb"/>
        <w:shd w:val="clear" w:color="auto" w:fill="FFFFFF"/>
        <w:spacing w:line="360" w:lineRule="auto"/>
        <w:jc w:val="center"/>
        <w:rPr>
          <w:rFonts w:ascii="Arial" w:hAnsi="Arial" w:cs="Arial"/>
          <w:iCs/>
          <w:sz w:val="20"/>
          <w:szCs w:val="22"/>
        </w:rPr>
      </w:pPr>
      <w:r w:rsidRPr="009F5203">
        <w:rPr>
          <w:rFonts w:ascii="Arial" w:hAnsi="Arial" w:cs="Arial"/>
          <w:sz w:val="20"/>
          <w:szCs w:val="20"/>
        </w:rPr>
        <w:t xml:space="preserve">Tabla </w:t>
      </w:r>
      <w:r w:rsidR="00FB2E3C">
        <w:rPr>
          <w:rFonts w:ascii="Arial" w:hAnsi="Arial" w:cs="Arial"/>
          <w:sz w:val="20"/>
          <w:szCs w:val="20"/>
        </w:rPr>
        <w:t>2</w:t>
      </w:r>
      <w:r w:rsidRPr="009F5203">
        <w:rPr>
          <w:rFonts w:ascii="Arial" w:hAnsi="Arial" w:cs="Arial"/>
          <w:sz w:val="20"/>
          <w:szCs w:val="20"/>
        </w:rPr>
        <w:t xml:space="preserve">. </w:t>
      </w:r>
      <w:r w:rsidRPr="009F5203">
        <w:rPr>
          <w:rFonts w:ascii="Arial" w:hAnsi="Arial" w:cs="Arial"/>
          <w:iCs/>
          <w:sz w:val="20"/>
          <w:szCs w:val="22"/>
        </w:rPr>
        <w:t>Distribución de intoxicaciones por régimen de salud, Colombia, 2017</w:t>
      </w:r>
      <w:r>
        <w:rPr>
          <w:rFonts w:ascii="Arial" w:hAnsi="Arial" w:cs="Arial"/>
          <w:iCs/>
          <w:sz w:val="20"/>
          <w:szCs w:val="22"/>
        </w:rPr>
        <w:br/>
      </w:r>
      <w:r w:rsidRPr="009F5203">
        <w:rPr>
          <w:rFonts w:ascii="Arial" w:hAnsi="Arial" w:cs="Arial"/>
          <w:iCs/>
          <w:noProof/>
          <w:sz w:val="20"/>
          <w:szCs w:val="22"/>
        </w:rPr>
        <w:drawing>
          <wp:inline distT="0" distB="0" distL="0" distR="0">
            <wp:extent cx="5686425" cy="1743684"/>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4258" cy="1773683"/>
                    </a:xfrm>
                    <a:prstGeom prst="rect">
                      <a:avLst/>
                    </a:prstGeom>
                    <a:noFill/>
                    <a:ln>
                      <a:noFill/>
                    </a:ln>
                  </pic:spPr>
                </pic:pic>
              </a:graphicData>
            </a:graphic>
          </wp:inline>
        </w:drawing>
      </w:r>
    </w:p>
    <w:p w:rsidR="009F5203" w:rsidRDefault="009F5203" w:rsidP="009F5203">
      <w:pPr>
        <w:pStyle w:val="NormalWeb"/>
        <w:shd w:val="clear" w:color="auto" w:fill="FFFFFF"/>
        <w:spacing w:line="360" w:lineRule="auto"/>
        <w:jc w:val="both"/>
        <w:rPr>
          <w:rFonts w:ascii="Arial" w:hAnsi="Arial" w:cs="Arial"/>
          <w:szCs w:val="22"/>
        </w:rPr>
      </w:pPr>
      <w:r w:rsidRPr="009F5203">
        <w:rPr>
          <w:rFonts w:ascii="Arial" w:hAnsi="Arial" w:cs="Arial"/>
          <w:szCs w:val="22"/>
        </w:rPr>
        <w:t xml:space="preserve">En relación con la pertenencia étnica, el 4,4% (1 755) de los casos corresponde a la etnia negro, mulato, afrocolombiano; 2,0% (780 casos) a indígenas y el 93,1% (36 960 casos) a otras etnias. (ver tabla </w:t>
      </w:r>
      <w:r>
        <w:rPr>
          <w:rFonts w:ascii="Arial" w:hAnsi="Arial" w:cs="Arial"/>
          <w:szCs w:val="22"/>
        </w:rPr>
        <w:t>3</w:t>
      </w:r>
      <w:r w:rsidRPr="009F5203">
        <w:rPr>
          <w:rFonts w:ascii="Arial" w:hAnsi="Arial" w:cs="Arial"/>
          <w:szCs w:val="22"/>
        </w:rPr>
        <w:t>).</w:t>
      </w:r>
    </w:p>
    <w:p w:rsidR="009F5203" w:rsidRDefault="009F5203" w:rsidP="009F5203">
      <w:pPr>
        <w:pStyle w:val="NormalWeb"/>
        <w:shd w:val="clear" w:color="auto" w:fill="FFFFFF"/>
        <w:spacing w:line="360" w:lineRule="auto"/>
        <w:jc w:val="center"/>
        <w:rPr>
          <w:rFonts w:ascii="Arial" w:hAnsi="Arial" w:cs="Arial"/>
          <w:iCs/>
          <w:sz w:val="20"/>
          <w:szCs w:val="20"/>
        </w:rPr>
      </w:pPr>
      <w:r w:rsidRPr="009F5203">
        <w:rPr>
          <w:rFonts w:ascii="Arial" w:hAnsi="Arial" w:cs="Arial"/>
          <w:iCs/>
          <w:sz w:val="20"/>
          <w:szCs w:val="20"/>
        </w:rPr>
        <w:t>Tabla 3. Distribución de intoxicaciones por pertenencia étnica, Colombia, 2017</w:t>
      </w:r>
      <w:r>
        <w:rPr>
          <w:rFonts w:ascii="Arial" w:hAnsi="Arial" w:cs="Arial"/>
          <w:iCs/>
          <w:sz w:val="20"/>
          <w:szCs w:val="20"/>
        </w:rPr>
        <w:br/>
      </w:r>
      <w:r w:rsidRPr="009F5203">
        <w:rPr>
          <w:rFonts w:ascii="Arial" w:hAnsi="Arial" w:cs="Arial"/>
          <w:iCs/>
          <w:noProof/>
          <w:sz w:val="20"/>
          <w:szCs w:val="20"/>
        </w:rPr>
        <w:drawing>
          <wp:inline distT="0" distB="0" distL="0" distR="0">
            <wp:extent cx="5612130" cy="197133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971330"/>
                    </a:xfrm>
                    <a:prstGeom prst="rect">
                      <a:avLst/>
                    </a:prstGeom>
                    <a:noFill/>
                    <a:ln>
                      <a:noFill/>
                    </a:ln>
                  </pic:spPr>
                </pic:pic>
              </a:graphicData>
            </a:graphic>
          </wp:inline>
        </w:drawing>
      </w:r>
    </w:p>
    <w:p w:rsidR="009F5203" w:rsidRPr="009F5203" w:rsidRDefault="009F5203" w:rsidP="009F5203">
      <w:pPr>
        <w:pStyle w:val="Default"/>
        <w:spacing w:line="360" w:lineRule="auto"/>
        <w:jc w:val="both"/>
        <w:rPr>
          <w:szCs w:val="22"/>
        </w:rPr>
      </w:pPr>
      <w:r w:rsidRPr="009F5203">
        <w:rPr>
          <w:szCs w:val="22"/>
        </w:rPr>
        <w:t xml:space="preserve">El 80,4% (31 922 casos) se presentaron en cabeceras municipales, seguido por áreas rurales dispersas 12,4% (4 905 casos) y en un menor porcentaje de notificación 7,3% (2 882 casos) en centros poblados. Los grupos de sustancias principalmente involucradas en las intoxicaciones ocurridas en las cabeceras municipales corresponden a </w:t>
      </w:r>
      <w:r w:rsidRPr="009F5203">
        <w:rPr>
          <w:b/>
          <w:szCs w:val="22"/>
        </w:rPr>
        <w:t>medicamentos</w:t>
      </w:r>
      <w:r w:rsidRPr="009F5203">
        <w:rPr>
          <w:szCs w:val="22"/>
        </w:rPr>
        <w:t>, sustancias psicoactivas y plaguicidas, mientras que en las áreas rurales dispersas el grupo de sustancias predominante corresponde a plaguicidas</w:t>
      </w:r>
      <w:r>
        <w:rPr>
          <w:szCs w:val="22"/>
        </w:rPr>
        <w:t>.</w:t>
      </w:r>
    </w:p>
    <w:p w:rsidR="009F5203" w:rsidRDefault="009F5203" w:rsidP="009F5203">
      <w:pPr>
        <w:pStyle w:val="NormalWeb"/>
        <w:shd w:val="clear" w:color="auto" w:fill="FFFFFF"/>
        <w:spacing w:line="360" w:lineRule="auto"/>
        <w:jc w:val="both"/>
        <w:rPr>
          <w:rFonts w:ascii="Arial" w:hAnsi="Arial" w:cs="Arial"/>
          <w:szCs w:val="22"/>
        </w:rPr>
      </w:pPr>
      <w:r w:rsidRPr="009F5203">
        <w:rPr>
          <w:rFonts w:ascii="Arial" w:hAnsi="Arial" w:cs="Arial"/>
          <w:szCs w:val="22"/>
        </w:rPr>
        <w:t xml:space="preserve">El número de intoxicaciones por sustancias químicas ocurridas en 2017 fue discretamente mayor en hombres con un 50,6% (20 088 casos), siendo mayor su ocurrencia por sustancias psicoactivas, metanol y solventes, mientras que para las mujeres predominaron por </w:t>
      </w:r>
      <w:r w:rsidRPr="00720F64">
        <w:rPr>
          <w:rFonts w:ascii="Arial" w:hAnsi="Arial" w:cs="Arial"/>
          <w:szCs w:val="22"/>
        </w:rPr>
        <w:t>medicamentos</w:t>
      </w:r>
      <w:r w:rsidRPr="009F5203">
        <w:rPr>
          <w:rFonts w:ascii="Arial" w:hAnsi="Arial" w:cs="Arial"/>
          <w:szCs w:val="22"/>
        </w:rPr>
        <w:t xml:space="preserve"> y gases (ver figura </w:t>
      </w:r>
      <w:r>
        <w:rPr>
          <w:rFonts w:ascii="Arial" w:hAnsi="Arial" w:cs="Arial"/>
          <w:szCs w:val="22"/>
        </w:rPr>
        <w:t>3</w:t>
      </w:r>
      <w:r w:rsidRPr="009F5203">
        <w:rPr>
          <w:rFonts w:ascii="Arial" w:hAnsi="Arial" w:cs="Arial"/>
          <w:szCs w:val="22"/>
        </w:rPr>
        <w:t>)</w:t>
      </w:r>
    </w:p>
    <w:p w:rsidR="009F5203" w:rsidRPr="009F5203" w:rsidRDefault="009F5203" w:rsidP="009F5203">
      <w:pPr>
        <w:pStyle w:val="NormalWeb"/>
        <w:shd w:val="clear" w:color="auto" w:fill="FFFFFF"/>
        <w:spacing w:line="360" w:lineRule="auto"/>
        <w:jc w:val="center"/>
        <w:rPr>
          <w:rFonts w:ascii="Arial" w:hAnsi="Arial" w:cs="Arial"/>
          <w:iCs/>
          <w:sz w:val="20"/>
          <w:szCs w:val="20"/>
        </w:rPr>
      </w:pPr>
      <w:r w:rsidRPr="009F5203">
        <w:rPr>
          <w:rFonts w:ascii="Arial" w:hAnsi="Arial" w:cs="Arial"/>
          <w:iCs/>
          <w:noProof/>
          <w:sz w:val="20"/>
          <w:szCs w:val="20"/>
        </w:rPr>
        <w:drawing>
          <wp:inline distT="0" distB="0" distL="0" distR="0">
            <wp:extent cx="5612130" cy="2802051"/>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802051"/>
                    </a:xfrm>
                    <a:prstGeom prst="rect">
                      <a:avLst/>
                    </a:prstGeom>
                    <a:noFill/>
                    <a:ln>
                      <a:noFill/>
                    </a:ln>
                  </pic:spPr>
                </pic:pic>
              </a:graphicData>
            </a:graphic>
          </wp:inline>
        </w:drawing>
      </w:r>
      <w:r w:rsidR="00FB2E3C">
        <w:rPr>
          <w:rFonts w:ascii="Arial" w:hAnsi="Arial" w:cs="Arial"/>
          <w:iCs/>
          <w:sz w:val="20"/>
          <w:szCs w:val="20"/>
        </w:rPr>
        <w:br/>
      </w:r>
      <w:r w:rsidR="00FB2E3C" w:rsidRPr="00FB2E3C">
        <w:rPr>
          <w:rFonts w:ascii="Arial" w:hAnsi="Arial" w:cs="Arial"/>
          <w:b/>
          <w:iCs/>
          <w:sz w:val="20"/>
          <w:szCs w:val="20"/>
        </w:rPr>
        <w:t>Figura 3.</w:t>
      </w:r>
      <w:r w:rsidR="00FB2E3C" w:rsidRPr="009F5203">
        <w:rPr>
          <w:rFonts w:ascii="Arial" w:hAnsi="Arial" w:cs="Arial"/>
          <w:iCs/>
          <w:sz w:val="20"/>
          <w:szCs w:val="20"/>
        </w:rPr>
        <w:t xml:space="preserve"> Distribución porcentual de intoxicaciones según sexo, Colombia, 2017</w:t>
      </w:r>
    </w:p>
    <w:p w:rsidR="00720F64" w:rsidRDefault="00FB2E3C" w:rsidP="004F5A47">
      <w:pPr>
        <w:pStyle w:val="NormalWeb"/>
        <w:shd w:val="clear" w:color="auto" w:fill="FFFFFF"/>
        <w:spacing w:line="360" w:lineRule="auto"/>
        <w:jc w:val="both"/>
        <w:rPr>
          <w:rFonts w:ascii="Arial" w:hAnsi="Arial" w:cs="Arial"/>
          <w:szCs w:val="22"/>
        </w:rPr>
      </w:pPr>
      <w:r w:rsidRPr="00FB2E3C">
        <w:rPr>
          <w:rFonts w:ascii="Arial" w:hAnsi="Arial" w:cs="Arial"/>
          <w:szCs w:val="22"/>
        </w:rPr>
        <w:t xml:space="preserve">El mayor número de casos notificados de intoxicaciones por medicamentos se registró en el sexo femenino, siendo su tipo de exposición más frecuente la intencionalidad suicida, seguido de la accidental, así mismo el mayor número de casos notificados en este grupo corresponde a medicamentos cuyo blanco es el sistema nervioso central. </w:t>
      </w:r>
    </w:p>
    <w:p w:rsidR="00FB2E3C" w:rsidRPr="00FB2E3C" w:rsidRDefault="00FB2E3C" w:rsidP="004F5A47">
      <w:pPr>
        <w:pStyle w:val="NormalWeb"/>
        <w:shd w:val="clear" w:color="auto" w:fill="FFFFFF"/>
        <w:spacing w:line="360" w:lineRule="auto"/>
        <w:jc w:val="both"/>
        <w:rPr>
          <w:rFonts w:ascii="Arial" w:hAnsi="Arial" w:cs="Arial"/>
          <w:sz w:val="28"/>
          <w:szCs w:val="22"/>
        </w:rPr>
      </w:pPr>
      <w:r w:rsidRPr="00FB2E3C">
        <w:rPr>
          <w:rFonts w:ascii="Arial" w:hAnsi="Arial" w:cs="Arial"/>
          <w:szCs w:val="22"/>
        </w:rPr>
        <w:t xml:space="preserve">Es importante destacar la presencia de patrones de consumo inapropiados de medicamentos como la </w:t>
      </w:r>
      <w:proofErr w:type="spellStart"/>
      <w:r w:rsidRPr="00FB2E3C">
        <w:rPr>
          <w:rFonts w:ascii="Arial" w:hAnsi="Arial" w:cs="Arial"/>
          <w:szCs w:val="22"/>
        </w:rPr>
        <w:t>autoformulación</w:t>
      </w:r>
      <w:proofErr w:type="spellEnd"/>
      <w:r w:rsidRPr="00FB2E3C">
        <w:rPr>
          <w:rFonts w:ascii="Arial" w:hAnsi="Arial" w:cs="Arial"/>
          <w:szCs w:val="22"/>
        </w:rPr>
        <w:t xml:space="preserve"> y </w:t>
      </w:r>
      <w:proofErr w:type="spellStart"/>
      <w:r w:rsidRPr="00FB2E3C">
        <w:rPr>
          <w:rFonts w:ascii="Arial" w:hAnsi="Arial" w:cs="Arial"/>
          <w:szCs w:val="22"/>
        </w:rPr>
        <w:t>autoprescripción</w:t>
      </w:r>
      <w:proofErr w:type="spellEnd"/>
      <w:r w:rsidRPr="00FB2E3C">
        <w:rPr>
          <w:rFonts w:ascii="Arial" w:hAnsi="Arial" w:cs="Arial"/>
          <w:szCs w:val="22"/>
        </w:rPr>
        <w:t xml:space="preserve"> que incrementan el riesgo de toxicidad, por lo que es importante realizar actividades de educación que promuevan su uso racional en especial para los de venta libre y se fortalezca la capacidad del personal de salud en la supervisión de su uso, así como en la aplicación de estrategias de farmacovigilancia, con el objetivo de disminuir tanto las intoxicaciones como las reacciones adversas.</w:t>
      </w:r>
    </w:p>
    <w:p w:rsidR="00AB5253" w:rsidRDefault="00AB5253" w:rsidP="004F5A47">
      <w:pPr>
        <w:pStyle w:val="NormalWeb"/>
        <w:shd w:val="clear" w:color="auto" w:fill="FFFFFF"/>
        <w:spacing w:line="360" w:lineRule="auto"/>
        <w:jc w:val="both"/>
        <w:rPr>
          <w:rFonts w:ascii="Arial" w:hAnsi="Arial" w:cs="Arial"/>
          <w:szCs w:val="22"/>
        </w:rPr>
      </w:pPr>
      <w:r w:rsidRPr="00AB5253">
        <w:rPr>
          <w:rFonts w:ascii="Arial" w:hAnsi="Arial" w:cs="Arial"/>
          <w:szCs w:val="22"/>
        </w:rPr>
        <w:t>En relación con el tipo de caso, la mayoría de las intoxicaciones por sustancias químicas ingresan por confirmación clínica con un 95,6% (37 949 casos), seguida en menor porcentaje por la confirmación por laboratorio 4,2% (1 656 casos) y por nexo epidemiológico 0,3% (104 casos)</w:t>
      </w:r>
      <w:r>
        <w:rPr>
          <w:rFonts w:ascii="Arial" w:hAnsi="Arial" w:cs="Arial"/>
          <w:szCs w:val="22"/>
        </w:rPr>
        <w:t>,</w:t>
      </w:r>
      <w:r w:rsidRPr="00AB5253">
        <w:rPr>
          <w:rFonts w:ascii="Arial" w:hAnsi="Arial" w:cs="Arial"/>
          <w:szCs w:val="22"/>
        </w:rPr>
        <w:t xml:space="preserve"> (ver tabla </w:t>
      </w:r>
      <w:r>
        <w:rPr>
          <w:rFonts w:ascii="Arial" w:hAnsi="Arial" w:cs="Arial"/>
          <w:szCs w:val="22"/>
        </w:rPr>
        <w:t>4</w:t>
      </w:r>
      <w:r w:rsidRPr="00AB5253">
        <w:rPr>
          <w:rFonts w:ascii="Arial" w:hAnsi="Arial" w:cs="Arial"/>
          <w:szCs w:val="22"/>
        </w:rPr>
        <w:t>).</w:t>
      </w:r>
    </w:p>
    <w:p w:rsidR="00AB5253" w:rsidRDefault="00AB5253" w:rsidP="00AB5253">
      <w:pPr>
        <w:pStyle w:val="NormalWeb"/>
        <w:shd w:val="clear" w:color="auto" w:fill="FFFFFF"/>
        <w:spacing w:line="360" w:lineRule="auto"/>
        <w:jc w:val="center"/>
        <w:rPr>
          <w:rFonts w:ascii="Arial" w:hAnsi="Arial" w:cs="Arial"/>
          <w:sz w:val="20"/>
          <w:szCs w:val="20"/>
        </w:rPr>
      </w:pPr>
      <w:r w:rsidRPr="00AB5253">
        <w:rPr>
          <w:rFonts w:ascii="Arial" w:hAnsi="Arial" w:cs="Arial"/>
          <w:iCs/>
          <w:sz w:val="20"/>
          <w:szCs w:val="20"/>
        </w:rPr>
        <w:t xml:space="preserve">Tabla </w:t>
      </w:r>
      <w:r>
        <w:rPr>
          <w:rFonts w:ascii="Arial" w:hAnsi="Arial" w:cs="Arial"/>
          <w:iCs/>
          <w:sz w:val="20"/>
          <w:szCs w:val="20"/>
        </w:rPr>
        <w:t>4</w:t>
      </w:r>
      <w:r w:rsidRPr="00AB5253">
        <w:rPr>
          <w:rFonts w:ascii="Arial" w:hAnsi="Arial" w:cs="Arial"/>
          <w:iCs/>
          <w:sz w:val="20"/>
          <w:szCs w:val="20"/>
        </w:rPr>
        <w:t xml:space="preserve">. Distribución de intoxicaciones por tipo caso, </w:t>
      </w:r>
      <w:r w:rsidRPr="00AB5253">
        <w:rPr>
          <w:rFonts w:ascii="Arial" w:hAnsi="Arial" w:cs="Arial"/>
          <w:sz w:val="20"/>
          <w:szCs w:val="20"/>
        </w:rPr>
        <w:t>Colombia, 2017</w:t>
      </w:r>
      <w:r>
        <w:rPr>
          <w:rFonts w:ascii="Arial" w:hAnsi="Arial" w:cs="Arial"/>
          <w:sz w:val="20"/>
          <w:szCs w:val="20"/>
        </w:rPr>
        <w:br/>
      </w:r>
      <w:r w:rsidRPr="00AB5253">
        <w:rPr>
          <w:rFonts w:ascii="Arial" w:hAnsi="Arial" w:cs="Arial"/>
          <w:noProof/>
          <w:sz w:val="20"/>
          <w:szCs w:val="20"/>
        </w:rPr>
        <w:drawing>
          <wp:inline distT="0" distB="0" distL="0" distR="0">
            <wp:extent cx="5612130" cy="2279307"/>
            <wp:effectExtent l="0" t="0" r="762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279307"/>
                    </a:xfrm>
                    <a:prstGeom prst="rect">
                      <a:avLst/>
                    </a:prstGeom>
                    <a:noFill/>
                    <a:ln>
                      <a:noFill/>
                    </a:ln>
                  </pic:spPr>
                </pic:pic>
              </a:graphicData>
            </a:graphic>
          </wp:inline>
        </w:drawing>
      </w:r>
    </w:p>
    <w:p w:rsidR="00AB5253" w:rsidRDefault="00AB5253" w:rsidP="00AB5253">
      <w:pPr>
        <w:pStyle w:val="NormalWeb"/>
        <w:shd w:val="clear" w:color="auto" w:fill="FFFFFF"/>
        <w:spacing w:line="360" w:lineRule="auto"/>
        <w:jc w:val="both"/>
        <w:rPr>
          <w:rFonts w:ascii="Arial" w:hAnsi="Arial" w:cs="Arial"/>
        </w:rPr>
      </w:pPr>
      <w:r w:rsidRPr="00AB5253">
        <w:rPr>
          <w:rFonts w:ascii="Arial" w:hAnsi="Arial" w:cs="Arial"/>
        </w:rPr>
        <w:t>En cuanto al tipo de exposición, el 42,1% (16 716 casos) corresponde a intención suicida, principalmente por medicamentos con el 24,4% (9</w:t>
      </w:r>
      <w:r>
        <w:rPr>
          <w:rFonts w:ascii="Arial" w:hAnsi="Arial" w:cs="Arial"/>
        </w:rPr>
        <w:t>.</w:t>
      </w:r>
      <w:r w:rsidRPr="00AB5253">
        <w:rPr>
          <w:rFonts w:ascii="Arial" w:hAnsi="Arial" w:cs="Arial"/>
        </w:rPr>
        <w:t>681 casos)</w:t>
      </w:r>
      <w:r>
        <w:rPr>
          <w:rFonts w:ascii="Arial" w:hAnsi="Arial" w:cs="Arial"/>
        </w:rPr>
        <w:t>;</w:t>
      </w:r>
      <w:r w:rsidRPr="00AB5253">
        <w:rPr>
          <w:rFonts w:ascii="Arial" w:hAnsi="Arial" w:cs="Arial"/>
        </w:rPr>
        <w:t xml:space="preserve"> </w:t>
      </w:r>
      <w:r>
        <w:rPr>
          <w:rFonts w:ascii="Arial" w:hAnsi="Arial" w:cs="Arial"/>
        </w:rPr>
        <w:t>e</w:t>
      </w:r>
      <w:r w:rsidRPr="00AB5253">
        <w:rPr>
          <w:rFonts w:ascii="Arial" w:hAnsi="Arial" w:cs="Arial"/>
        </w:rPr>
        <w:t>n cuanto al lugar de ocurrencia, el 66,0% (26</w:t>
      </w:r>
      <w:r>
        <w:rPr>
          <w:rFonts w:ascii="Arial" w:hAnsi="Arial" w:cs="Arial"/>
        </w:rPr>
        <w:t>.</w:t>
      </w:r>
      <w:r w:rsidRPr="00AB5253">
        <w:rPr>
          <w:rFonts w:ascii="Arial" w:hAnsi="Arial" w:cs="Arial"/>
        </w:rPr>
        <w:t xml:space="preserve">228 casos) de las intoxicaciones por sustancias químicas se presentaron en el hogar; </w:t>
      </w:r>
      <w:r>
        <w:rPr>
          <w:rFonts w:ascii="Arial" w:hAnsi="Arial" w:cs="Arial"/>
        </w:rPr>
        <w:t>con</w:t>
      </w:r>
      <w:r w:rsidRPr="00AB5253">
        <w:rPr>
          <w:rFonts w:ascii="Arial" w:hAnsi="Arial" w:cs="Arial"/>
        </w:rPr>
        <w:t xml:space="preserve"> intoxicaciones por medicamentos el 90,9% (12</w:t>
      </w:r>
      <w:r>
        <w:rPr>
          <w:rFonts w:ascii="Arial" w:hAnsi="Arial" w:cs="Arial"/>
        </w:rPr>
        <w:t>.</w:t>
      </w:r>
      <w:r w:rsidRPr="00AB5253">
        <w:rPr>
          <w:rFonts w:ascii="Arial" w:hAnsi="Arial" w:cs="Arial"/>
        </w:rPr>
        <w:t>153 casos)</w:t>
      </w:r>
      <w:r>
        <w:rPr>
          <w:rFonts w:ascii="Arial" w:hAnsi="Arial" w:cs="Arial"/>
        </w:rPr>
        <w:t>.</w:t>
      </w:r>
    </w:p>
    <w:p w:rsidR="00AB5253" w:rsidRDefault="00AB5253" w:rsidP="00AB5253">
      <w:pPr>
        <w:pStyle w:val="NormalWeb"/>
        <w:shd w:val="clear" w:color="auto" w:fill="FFFFFF"/>
        <w:spacing w:line="360" w:lineRule="auto"/>
        <w:jc w:val="both"/>
        <w:rPr>
          <w:rFonts w:ascii="Arial" w:hAnsi="Arial" w:cs="Arial"/>
          <w:szCs w:val="22"/>
        </w:rPr>
      </w:pPr>
      <w:r w:rsidRPr="00AB5253">
        <w:rPr>
          <w:rFonts w:ascii="Arial" w:hAnsi="Arial" w:cs="Arial"/>
          <w:szCs w:val="22"/>
        </w:rPr>
        <w:t xml:space="preserve">Las intoxicaciones por medicamentos, sustancias psicoactivas y plaguicidas cuentan con las mayores proporciones respectivamente en Colombia. Las entidades territoriales de Bogotá, Antioquia, Valle del Cauca, Caldas, Nariño y Cundinamarca, cuentan con la mayor notificación al </w:t>
      </w:r>
      <w:proofErr w:type="spellStart"/>
      <w:r w:rsidRPr="00AB5253">
        <w:rPr>
          <w:rFonts w:ascii="Arial" w:hAnsi="Arial" w:cs="Arial"/>
          <w:szCs w:val="22"/>
        </w:rPr>
        <w:t>Sivigila</w:t>
      </w:r>
      <w:proofErr w:type="spellEnd"/>
      <w:r w:rsidRPr="00AB5253">
        <w:rPr>
          <w:rFonts w:ascii="Arial" w:hAnsi="Arial" w:cs="Arial"/>
          <w:szCs w:val="22"/>
        </w:rPr>
        <w:t xml:space="preserve"> respectivamente.</w:t>
      </w:r>
    </w:p>
    <w:p w:rsidR="004F5A47" w:rsidRPr="00CB1910" w:rsidRDefault="00FB2E3C" w:rsidP="004F5A47">
      <w:pPr>
        <w:pStyle w:val="NormalWeb"/>
        <w:shd w:val="clear" w:color="auto" w:fill="FFFFFF"/>
        <w:spacing w:line="360" w:lineRule="auto"/>
        <w:jc w:val="both"/>
        <w:rPr>
          <w:rFonts w:ascii="Arial" w:hAnsi="Arial" w:cs="Arial"/>
          <w:shd w:val="clear" w:color="auto" w:fill="FFFFFF"/>
        </w:rPr>
      </w:pPr>
      <w:r>
        <w:rPr>
          <w:rFonts w:ascii="Arial" w:hAnsi="Arial" w:cs="Arial"/>
        </w:rPr>
        <w:t>En otros contextos e</w:t>
      </w:r>
      <w:r w:rsidR="004F5A47">
        <w:rPr>
          <w:rFonts w:ascii="Arial" w:hAnsi="Arial" w:cs="Arial"/>
        </w:rPr>
        <w:t xml:space="preserve">l comportamiento de </w:t>
      </w:r>
      <w:r w:rsidR="00720F64">
        <w:rPr>
          <w:rFonts w:ascii="Arial" w:hAnsi="Arial" w:cs="Arial"/>
        </w:rPr>
        <w:t>Automedicación</w:t>
      </w:r>
      <w:r w:rsidR="004F5A47">
        <w:rPr>
          <w:rFonts w:ascii="Arial" w:hAnsi="Arial" w:cs="Arial"/>
        </w:rPr>
        <w:t xml:space="preserve"> se ha investigado típicamente en estudiantes universitarios, como el que realizaron investigadores de la Universidad del Rosario, </w:t>
      </w:r>
      <w:r>
        <w:rPr>
          <w:rFonts w:ascii="Arial" w:hAnsi="Arial" w:cs="Arial"/>
        </w:rPr>
        <w:t>a través de</w:t>
      </w:r>
      <w:r w:rsidR="004F5A47">
        <w:rPr>
          <w:rFonts w:ascii="Arial" w:hAnsi="Arial" w:cs="Arial"/>
        </w:rPr>
        <w:t xml:space="preserve"> </w:t>
      </w:r>
      <w:r w:rsidR="004F5A47" w:rsidRPr="00CB1910">
        <w:rPr>
          <w:rFonts w:ascii="Arial" w:hAnsi="Arial" w:cs="Arial"/>
          <w:shd w:val="clear" w:color="auto" w:fill="FFFFFF"/>
        </w:rPr>
        <w:t>un estudio de corte transversal mediante una encuesta aplicada a 276 estudiantes de medicina, en el que se indagaron datos demográficos, antecedentes patol</w:t>
      </w:r>
      <w:r w:rsidR="004F5A47">
        <w:rPr>
          <w:rFonts w:ascii="Arial" w:hAnsi="Arial" w:cs="Arial"/>
          <w:shd w:val="clear" w:color="auto" w:fill="FFFFFF"/>
        </w:rPr>
        <w:t xml:space="preserve">ógicos, hábitos, frecuencia de </w:t>
      </w:r>
      <w:r w:rsidR="00720F64">
        <w:rPr>
          <w:rFonts w:ascii="Arial" w:hAnsi="Arial" w:cs="Arial"/>
          <w:shd w:val="clear" w:color="auto" w:fill="FFFFFF"/>
        </w:rPr>
        <w:t>Automedicación</w:t>
      </w:r>
      <w:r w:rsidR="004F5A47" w:rsidRPr="00CB1910">
        <w:rPr>
          <w:rFonts w:ascii="Arial" w:hAnsi="Arial" w:cs="Arial"/>
          <w:shd w:val="clear" w:color="auto" w:fill="FFFFFF"/>
        </w:rPr>
        <w:t>, medicamento</w:t>
      </w:r>
      <w:r w:rsidR="004F5A47">
        <w:rPr>
          <w:rFonts w:ascii="Arial" w:hAnsi="Arial" w:cs="Arial"/>
          <w:shd w:val="clear" w:color="auto" w:fill="FFFFFF"/>
        </w:rPr>
        <w:t xml:space="preserve">s automedicados, porcentaje de </w:t>
      </w:r>
      <w:r w:rsidR="00720F64">
        <w:rPr>
          <w:rFonts w:ascii="Arial" w:hAnsi="Arial" w:cs="Arial"/>
          <w:shd w:val="clear" w:color="auto" w:fill="FFFFFF"/>
        </w:rPr>
        <w:t>Automedicación</w:t>
      </w:r>
      <w:r w:rsidR="004F5A47" w:rsidRPr="00CB1910">
        <w:rPr>
          <w:rFonts w:ascii="Arial" w:hAnsi="Arial" w:cs="Arial"/>
          <w:shd w:val="clear" w:color="auto" w:fill="FFFFFF"/>
        </w:rPr>
        <w:t xml:space="preserve"> responsable, razones para automedicarse y conocimiento sobre esta conducta</w:t>
      </w:r>
      <w:r w:rsidR="004F5A47">
        <w:rPr>
          <w:rStyle w:val="Refdenotaalpie"/>
          <w:rFonts w:ascii="Arial" w:hAnsi="Arial" w:cs="Arial"/>
          <w:shd w:val="clear" w:color="auto" w:fill="FFFFFF"/>
        </w:rPr>
        <w:footnoteReference w:id="20"/>
      </w:r>
    </w:p>
    <w:p w:rsidR="004F5A47" w:rsidRDefault="004F5A47" w:rsidP="004F5A47">
      <w:pPr>
        <w:pStyle w:val="NormalWeb"/>
        <w:shd w:val="clear" w:color="auto" w:fill="FFFFFF"/>
        <w:spacing w:line="360" w:lineRule="auto"/>
        <w:jc w:val="both"/>
        <w:rPr>
          <w:rFonts w:ascii="Arial" w:hAnsi="Arial" w:cs="Arial"/>
        </w:rPr>
      </w:pPr>
      <w:r w:rsidRPr="000F41DE">
        <w:rPr>
          <w:rFonts w:ascii="Arial" w:hAnsi="Arial" w:cs="Arial"/>
          <w:shd w:val="clear" w:color="auto" w:fill="FFFFFF"/>
        </w:rPr>
        <w:t xml:space="preserve">De las 276 encuestas realizadas, se analizaron 270, encontrando que la prevalencia de </w:t>
      </w:r>
      <w:r w:rsidR="00720F64">
        <w:rPr>
          <w:rFonts w:ascii="Arial" w:hAnsi="Arial" w:cs="Arial"/>
          <w:shd w:val="clear" w:color="auto" w:fill="FFFFFF"/>
        </w:rPr>
        <w:t>Automedicación</w:t>
      </w:r>
      <w:r w:rsidRPr="000F41DE">
        <w:rPr>
          <w:rFonts w:ascii="Arial" w:hAnsi="Arial" w:cs="Arial"/>
          <w:shd w:val="clear" w:color="auto" w:fill="FFFFFF"/>
        </w:rPr>
        <w:t xml:space="preserve"> fue del 79,3%. Los medicamentos auto-medicados con mayor frecuencia fueron acetaminofén (10,8%), e ibuprofeno (3,9%)</w:t>
      </w:r>
      <w:r w:rsidRPr="00F57143">
        <w:rPr>
          <w:rFonts w:ascii="Arial" w:hAnsi="Arial" w:cs="Arial"/>
        </w:rPr>
        <w:t>,</w:t>
      </w:r>
      <w:r>
        <w:rPr>
          <w:rFonts w:ascii="Arial" w:hAnsi="Arial" w:cs="Arial"/>
        </w:rPr>
        <w:t xml:space="preserve"> analgésicos que frecuentemente se anuncian en horarios “Prime” de radio y televisión bajo diferentes presentaciones.</w:t>
      </w:r>
    </w:p>
    <w:p w:rsidR="004F5A47" w:rsidRPr="005D09EB" w:rsidRDefault="004F5A47" w:rsidP="004F5A47">
      <w:pPr>
        <w:pStyle w:val="NormalWeb"/>
        <w:shd w:val="clear" w:color="auto" w:fill="FFFFFF"/>
        <w:spacing w:line="360" w:lineRule="auto"/>
        <w:jc w:val="both"/>
        <w:rPr>
          <w:rFonts w:ascii="Arial" w:hAnsi="Arial" w:cs="Arial"/>
        </w:rPr>
      </w:pPr>
      <w:r>
        <w:rPr>
          <w:rFonts w:ascii="Arial" w:hAnsi="Arial" w:cs="Arial"/>
        </w:rPr>
        <w:t xml:space="preserve">Un estudio posterior realizado también con estudiantes de Medicina de la UDCA, </w:t>
      </w:r>
      <w:r w:rsidRPr="005D09EB">
        <w:rPr>
          <w:rFonts w:ascii="Arial" w:hAnsi="Arial" w:cs="Arial"/>
        </w:rPr>
        <w:t xml:space="preserve">se encontró que el 73% de la población se automedica, </w:t>
      </w:r>
      <w:r>
        <w:rPr>
          <w:rFonts w:ascii="Arial" w:hAnsi="Arial" w:cs="Arial"/>
        </w:rPr>
        <w:t xml:space="preserve">y </w:t>
      </w:r>
      <w:r w:rsidRPr="005D09EB">
        <w:rPr>
          <w:rFonts w:ascii="Arial" w:hAnsi="Arial" w:cs="Arial"/>
        </w:rPr>
        <w:t xml:space="preserve">a pesar de que el 79% de los estudiantes refiere que conoce con claridad los riesgos de la </w:t>
      </w:r>
      <w:r w:rsidR="00720F64">
        <w:rPr>
          <w:rFonts w:ascii="Arial" w:hAnsi="Arial" w:cs="Arial"/>
        </w:rPr>
        <w:t>Automedicación</w:t>
      </w:r>
      <w:r w:rsidRPr="005D09EB">
        <w:rPr>
          <w:rFonts w:ascii="Arial" w:hAnsi="Arial" w:cs="Arial"/>
        </w:rPr>
        <w:t>, el 45% lo hace porque los síntomas no le parecen graves y el 37% refiere que ya había manejado los síntomas con anterioridad.</w:t>
      </w:r>
      <w:r>
        <w:rPr>
          <w:rFonts w:ascii="Arial" w:hAnsi="Arial" w:cs="Arial"/>
        </w:rPr>
        <w:t xml:space="preserve"> El estudio reveló que </w:t>
      </w:r>
      <w:r w:rsidRPr="00754F22">
        <w:rPr>
          <w:rFonts w:ascii="Arial" w:hAnsi="Arial" w:cs="Arial"/>
        </w:rPr>
        <w:t xml:space="preserve">el 23% de estos reciben información de sus familiares, seguido por la televisión con el 19%. Por otra parte, en cuanto a la obtención de los medicamentos, el 91% de la población los obtienen sin </w:t>
      </w:r>
      <w:r>
        <w:rPr>
          <w:rFonts w:ascii="Arial" w:hAnsi="Arial" w:cs="Arial"/>
        </w:rPr>
        <w:t>fórmula</w:t>
      </w:r>
      <w:r w:rsidRPr="00754F22">
        <w:rPr>
          <w:rFonts w:ascii="Arial" w:hAnsi="Arial" w:cs="Arial"/>
        </w:rPr>
        <w:t xml:space="preserve"> médica</w:t>
      </w:r>
      <w:r>
        <w:rPr>
          <w:rStyle w:val="Refdenotaalpie"/>
          <w:rFonts w:ascii="Arial" w:hAnsi="Arial" w:cs="Arial"/>
        </w:rPr>
        <w:footnoteReference w:id="21"/>
      </w:r>
      <w:r>
        <w:rPr>
          <w:rFonts w:ascii="Arial" w:hAnsi="Arial" w:cs="Arial"/>
        </w:rPr>
        <w:t>.</w:t>
      </w:r>
    </w:p>
    <w:p w:rsidR="004F5A47" w:rsidRDefault="004F5A47" w:rsidP="004F5A47">
      <w:pPr>
        <w:pStyle w:val="NormalWeb"/>
        <w:shd w:val="clear" w:color="auto" w:fill="FFFFFF"/>
        <w:spacing w:line="360" w:lineRule="auto"/>
        <w:jc w:val="both"/>
        <w:rPr>
          <w:rFonts w:ascii="Arial" w:hAnsi="Arial" w:cs="Arial"/>
        </w:rPr>
      </w:pPr>
      <w:r>
        <w:rPr>
          <w:rFonts w:ascii="Arial" w:hAnsi="Arial" w:cs="Arial"/>
        </w:rPr>
        <w:t>De manera más amplia, incluyendo población de diferentes departamentos del país como Cundinamarca, Risaralda, Cesar, Antioquia y Tolima, vale la pena citar el estudio realizado por la UNAD</w:t>
      </w:r>
      <w:r>
        <w:rPr>
          <w:rStyle w:val="Refdenotaalpie"/>
          <w:rFonts w:ascii="Arial" w:hAnsi="Arial" w:cs="Arial"/>
        </w:rPr>
        <w:footnoteReference w:id="22"/>
      </w:r>
      <w:r>
        <w:rPr>
          <w:rFonts w:ascii="Arial" w:hAnsi="Arial" w:cs="Arial"/>
        </w:rPr>
        <w:t xml:space="preserve">, según el cual el 89% de los participantes se ha automedicado en el último año, fundamentalmente con analgésicos (49%) y antibióticos (31%). </w:t>
      </w:r>
      <w:r w:rsidRPr="005D09EB">
        <w:rPr>
          <w:rFonts w:ascii="Arial" w:hAnsi="Arial" w:cs="Arial"/>
        </w:rPr>
        <w:t>El 37% de la población encuestada dice que lo hace por ahorrar tiempo, el 45% lo hace por pereza de ir al médico o prescriptor y el 18% restante por economía.</w:t>
      </w:r>
      <w:r>
        <w:rPr>
          <w:rFonts w:ascii="Arial" w:hAnsi="Arial" w:cs="Arial"/>
        </w:rPr>
        <w:t xml:space="preserve"> </w:t>
      </w:r>
    </w:p>
    <w:p w:rsidR="004F5A47" w:rsidRDefault="004F5A47" w:rsidP="004F5A47">
      <w:pPr>
        <w:pStyle w:val="NormalWeb"/>
        <w:shd w:val="clear" w:color="auto" w:fill="FFFFFF"/>
        <w:spacing w:line="360" w:lineRule="auto"/>
        <w:jc w:val="both"/>
        <w:rPr>
          <w:rFonts w:ascii="Arial" w:hAnsi="Arial" w:cs="Arial"/>
        </w:rPr>
      </w:pPr>
      <w:r>
        <w:rPr>
          <w:rFonts w:ascii="Arial" w:hAnsi="Arial" w:cs="Arial"/>
        </w:rPr>
        <w:t>Puntualiza el estudio que “</w:t>
      </w:r>
      <w:r w:rsidRPr="005C543E">
        <w:rPr>
          <w:rFonts w:ascii="Arial" w:hAnsi="Arial" w:cs="Arial"/>
        </w:rPr>
        <w:t>en nuestro país los medios de comunicación, como la radio y la televisión influyen en sumo grado en la toma de decisión del consumo de un fármaco por voluntad propia</w:t>
      </w:r>
      <w:r>
        <w:rPr>
          <w:rFonts w:ascii="Arial" w:hAnsi="Arial" w:cs="Arial"/>
        </w:rPr>
        <w:t>,</w:t>
      </w:r>
      <w:r w:rsidRPr="005C543E">
        <w:rPr>
          <w:rFonts w:ascii="Arial" w:hAnsi="Arial" w:cs="Arial"/>
        </w:rPr>
        <w:t xml:space="preserve"> lo que facilita que existan altas tasas de prevalencia de </w:t>
      </w:r>
      <w:r w:rsidR="00720F64">
        <w:rPr>
          <w:rFonts w:ascii="Arial" w:hAnsi="Arial" w:cs="Arial"/>
        </w:rPr>
        <w:t>Automedicación</w:t>
      </w:r>
      <w:r>
        <w:rPr>
          <w:rFonts w:ascii="Arial" w:hAnsi="Arial" w:cs="Arial"/>
        </w:rPr>
        <w:t>”</w:t>
      </w:r>
      <w:r w:rsidRPr="005C543E">
        <w:rPr>
          <w:rFonts w:ascii="Arial" w:hAnsi="Arial" w:cs="Arial"/>
        </w:rPr>
        <w:t>.</w:t>
      </w:r>
    </w:p>
    <w:p w:rsidR="004F5A47" w:rsidRPr="00EC607E" w:rsidRDefault="004F5A47" w:rsidP="004F5A47">
      <w:pPr>
        <w:pStyle w:val="NormalWeb"/>
        <w:shd w:val="clear" w:color="auto" w:fill="FFFFFF"/>
        <w:spacing w:line="360" w:lineRule="auto"/>
        <w:jc w:val="both"/>
        <w:rPr>
          <w:rFonts w:ascii="Arial" w:hAnsi="Arial" w:cs="Arial"/>
          <w:sz w:val="32"/>
        </w:rPr>
      </w:pPr>
      <w:r>
        <w:rPr>
          <w:rFonts w:ascii="Arial" w:hAnsi="Arial" w:cs="Arial"/>
        </w:rPr>
        <w:t>En relación con los antibióticos, a</w:t>
      </w:r>
      <w:r w:rsidRPr="00EC607E">
        <w:rPr>
          <w:rFonts w:ascii="Arial" w:hAnsi="Arial" w:cs="Arial"/>
          <w:color w:val="000000"/>
          <w:szCs w:val="20"/>
        </w:rPr>
        <w:t xml:space="preserve"> diferencia de la mayoría de los otros medicamentos que solo afectan a pacientes individuales si se usan incorrectamente para la </w:t>
      </w:r>
      <w:r w:rsidR="00720F64">
        <w:rPr>
          <w:rFonts w:ascii="Arial" w:hAnsi="Arial" w:cs="Arial"/>
          <w:color w:val="000000"/>
          <w:szCs w:val="20"/>
        </w:rPr>
        <w:t>Automedicación</w:t>
      </w:r>
      <w:r w:rsidRPr="00EC607E">
        <w:rPr>
          <w:rFonts w:ascii="Arial" w:hAnsi="Arial" w:cs="Arial"/>
          <w:color w:val="000000"/>
          <w:szCs w:val="20"/>
        </w:rPr>
        <w:t xml:space="preserve">, los antibióticos mal utilizados aumentan el riesgo global de una mayor propagación de la resistencia bacteriana. La alta prevalencia de </w:t>
      </w:r>
      <w:r w:rsidR="00720F64">
        <w:rPr>
          <w:rFonts w:ascii="Arial" w:hAnsi="Arial" w:cs="Arial"/>
          <w:color w:val="000000"/>
          <w:szCs w:val="20"/>
        </w:rPr>
        <w:t>Automedicación</w:t>
      </w:r>
      <w:r w:rsidRPr="00EC607E">
        <w:rPr>
          <w:rFonts w:ascii="Arial" w:hAnsi="Arial" w:cs="Arial"/>
          <w:color w:val="000000"/>
          <w:szCs w:val="20"/>
        </w:rPr>
        <w:t xml:space="preserve"> con antibióticos se ha encontrado repetidamente en países del sur y este de Europa que también reportan altos niveles de resistencia a los antibióticos. A pesar de ser ilegal, en varios Estados miembros de la Unión Europea se produce una dispensación sin </w:t>
      </w:r>
      <w:r>
        <w:rPr>
          <w:rFonts w:ascii="Arial" w:hAnsi="Arial" w:cs="Arial"/>
          <w:color w:val="000000"/>
          <w:szCs w:val="20"/>
        </w:rPr>
        <w:t>fórmula</w:t>
      </w:r>
      <w:r w:rsidRPr="00EC607E">
        <w:rPr>
          <w:rFonts w:ascii="Arial" w:hAnsi="Arial" w:cs="Arial"/>
          <w:color w:val="000000"/>
          <w:szCs w:val="20"/>
        </w:rPr>
        <w:t xml:space="preserve"> de antibióticos sistémicos. Una segunda fuente importante de </w:t>
      </w:r>
      <w:r w:rsidR="00720F64">
        <w:rPr>
          <w:rFonts w:ascii="Arial" w:hAnsi="Arial" w:cs="Arial"/>
          <w:color w:val="000000"/>
          <w:szCs w:val="20"/>
        </w:rPr>
        <w:t>Automedicación</w:t>
      </w:r>
      <w:r w:rsidRPr="00EC607E">
        <w:rPr>
          <w:rFonts w:ascii="Arial" w:hAnsi="Arial" w:cs="Arial"/>
          <w:color w:val="000000"/>
          <w:szCs w:val="20"/>
        </w:rPr>
        <w:t xml:space="preserve"> es la disponibilidad de antibióticos "sobrantes" que resultan del incumplimiento por parte del paciente o la administración de un número mayor de comprimidos de lo que se necesita para un solo ciclo.</w:t>
      </w:r>
      <w:r w:rsidRPr="00EC607E">
        <w:rPr>
          <w:rFonts w:ascii="Arial" w:hAnsi="Arial" w:cs="Arial"/>
          <w:color w:val="000000"/>
          <w:szCs w:val="20"/>
        </w:rPr>
        <w:br/>
      </w:r>
      <w:r w:rsidRPr="00EC607E">
        <w:rPr>
          <w:rFonts w:ascii="Arial" w:hAnsi="Arial" w:cs="Arial"/>
          <w:color w:val="000000"/>
          <w:szCs w:val="20"/>
        </w:rPr>
        <w:br/>
        <w:t xml:space="preserve">Los factores potencialmente modificables asociados con la </w:t>
      </w:r>
      <w:r w:rsidR="00720F64">
        <w:rPr>
          <w:rFonts w:ascii="Arial" w:hAnsi="Arial" w:cs="Arial"/>
          <w:color w:val="000000"/>
          <w:szCs w:val="20"/>
        </w:rPr>
        <w:t>Automedicación</w:t>
      </w:r>
      <w:r w:rsidRPr="00EC607E">
        <w:rPr>
          <w:rFonts w:ascii="Arial" w:hAnsi="Arial" w:cs="Arial"/>
          <w:color w:val="000000"/>
          <w:szCs w:val="20"/>
        </w:rPr>
        <w:t xml:space="preserve"> </w:t>
      </w:r>
      <w:r>
        <w:rPr>
          <w:rFonts w:ascii="Arial" w:hAnsi="Arial" w:cs="Arial"/>
          <w:color w:val="000000"/>
          <w:szCs w:val="20"/>
        </w:rPr>
        <w:t>incluyen</w:t>
      </w:r>
      <w:r w:rsidRPr="00EC607E">
        <w:rPr>
          <w:rFonts w:ascii="Arial" w:hAnsi="Arial" w:cs="Arial"/>
          <w:color w:val="000000"/>
          <w:szCs w:val="20"/>
        </w:rPr>
        <w:t xml:space="preserve"> la disponibilidad de antibióticos sin </w:t>
      </w:r>
      <w:r>
        <w:rPr>
          <w:rFonts w:ascii="Arial" w:hAnsi="Arial" w:cs="Arial"/>
          <w:color w:val="000000"/>
          <w:szCs w:val="20"/>
        </w:rPr>
        <w:t>fórmula</w:t>
      </w:r>
      <w:r w:rsidRPr="00EC607E">
        <w:rPr>
          <w:rFonts w:ascii="Arial" w:hAnsi="Arial" w:cs="Arial"/>
          <w:color w:val="000000"/>
          <w:szCs w:val="20"/>
        </w:rPr>
        <w:t>, el sistema de dispensación de antibióticos en paquetes, los conceptos erróneos del público en general sobre la eficacia de los antibióticos para enfermedades leves y la prescripción de antibióticos para dolencias menores por parte de los médicos. Las medidas que pueden reducir y preveni</w:t>
      </w:r>
      <w:r>
        <w:rPr>
          <w:rFonts w:ascii="Arial" w:hAnsi="Arial" w:cs="Arial"/>
          <w:color w:val="000000"/>
          <w:szCs w:val="20"/>
        </w:rPr>
        <w:t xml:space="preserve">r la </w:t>
      </w:r>
      <w:r w:rsidR="00720F64">
        <w:rPr>
          <w:rFonts w:ascii="Arial" w:hAnsi="Arial" w:cs="Arial"/>
          <w:color w:val="000000"/>
          <w:szCs w:val="20"/>
        </w:rPr>
        <w:t>Automedicación</w:t>
      </w:r>
      <w:r>
        <w:rPr>
          <w:rFonts w:ascii="Arial" w:hAnsi="Arial" w:cs="Arial"/>
          <w:color w:val="000000"/>
          <w:szCs w:val="20"/>
        </w:rPr>
        <w:t xml:space="preserve"> incluyen </w:t>
      </w:r>
      <w:r w:rsidRPr="00EC607E">
        <w:rPr>
          <w:rFonts w:ascii="Arial" w:hAnsi="Arial" w:cs="Arial"/>
          <w:color w:val="000000"/>
          <w:szCs w:val="20"/>
        </w:rPr>
        <w:t xml:space="preserve">el cumplimiento de las leyes existentes que prohíben la venta de antibióticos </w:t>
      </w:r>
      <w:r>
        <w:rPr>
          <w:rFonts w:ascii="Arial" w:hAnsi="Arial" w:cs="Arial"/>
          <w:color w:val="000000"/>
          <w:szCs w:val="20"/>
        </w:rPr>
        <w:t>como medicamentos de</w:t>
      </w:r>
      <w:r w:rsidRPr="00EC607E">
        <w:rPr>
          <w:rFonts w:ascii="Arial" w:hAnsi="Arial" w:cs="Arial"/>
          <w:color w:val="000000"/>
          <w:szCs w:val="20"/>
        </w:rPr>
        <w:t xml:space="preserve"> venta libre</w:t>
      </w:r>
      <w:r>
        <w:rPr>
          <w:rStyle w:val="Refdenotaalpie"/>
          <w:rFonts w:ascii="Arial" w:hAnsi="Arial" w:cs="Arial"/>
          <w:color w:val="000000"/>
          <w:szCs w:val="20"/>
        </w:rPr>
        <w:footnoteReference w:id="23"/>
      </w:r>
      <w:r w:rsidRPr="00EC607E">
        <w:rPr>
          <w:rFonts w:ascii="Arial" w:hAnsi="Arial" w:cs="Arial"/>
          <w:color w:val="000000"/>
          <w:szCs w:val="20"/>
        </w:rPr>
        <w:t>.</w:t>
      </w:r>
    </w:p>
    <w:p w:rsidR="004F5A47" w:rsidRDefault="004F5A47" w:rsidP="004F5A47">
      <w:pPr>
        <w:pStyle w:val="NormalWeb"/>
        <w:shd w:val="clear" w:color="auto" w:fill="FFFFFF"/>
        <w:spacing w:line="360" w:lineRule="auto"/>
        <w:jc w:val="both"/>
        <w:rPr>
          <w:rFonts w:ascii="Arial" w:hAnsi="Arial" w:cs="Arial"/>
        </w:rPr>
      </w:pPr>
      <w:r>
        <w:rPr>
          <w:rFonts w:ascii="Arial" w:hAnsi="Arial" w:cs="Arial"/>
        </w:rPr>
        <w:t xml:space="preserve">En términos de la relación entre publicidad de medicamentos OTC y el incremento en su consumo por vía de la </w:t>
      </w:r>
      <w:r w:rsidR="00720F64">
        <w:rPr>
          <w:rFonts w:ascii="Arial" w:hAnsi="Arial" w:cs="Arial"/>
        </w:rPr>
        <w:t>Automedicación</w:t>
      </w:r>
      <w:r>
        <w:rPr>
          <w:rFonts w:ascii="Arial" w:hAnsi="Arial" w:cs="Arial"/>
        </w:rPr>
        <w:t>, e</w:t>
      </w:r>
      <w:r w:rsidRPr="004873DE">
        <w:rPr>
          <w:rFonts w:ascii="Arial" w:hAnsi="Arial" w:cs="Arial"/>
        </w:rPr>
        <w:t xml:space="preserve">l actual Estatuto del Consumidor, Ley 1480 de 2011 </w:t>
      </w:r>
      <w:r>
        <w:rPr>
          <w:rFonts w:ascii="Arial" w:hAnsi="Arial" w:cs="Arial"/>
        </w:rPr>
        <w:t>representa</w:t>
      </w:r>
      <w:r w:rsidRPr="004873DE">
        <w:rPr>
          <w:rFonts w:ascii="Arial" w:hAnsi="Arial" w:cs="Arial"/>
        </w:rPr>
        <w:t xml:space="preserve"> uno de los avances más significativos en la defensa y promoción de los derechos de los consumidores colombianos, materializando lo consagrado en el artículo 78 de la CPC</w:t>
      </w:r>
      <w:r w:rsidRPr="004873DE">
        <w:rPr>
          <w:rStyle w:val="Refdenotaalpie"/>
          <w:rFonts w:ascii="Arial" w:hAnsi="Arial" w:cs="Arial"/>
        </w:rPr>
        <w:footnoteReference w:id="24"/>
      </w:r>
      <w:r w:rsidRPr="004873DE">
        <w:rPr>
          <w:rFonts w:ascii="Arial" w:hAnsi="Arial" w:cs="Arial"/>
        </w:rPr>
        <w:t xml:space="preserve"> y convirtiéndose en una visión más precisa de las relaciones entre productores y consumidores</w:t>
      </w:r>
      <w:r>
        <w:rPr>
          <w:rFonts w:ascii="Arial" w:hAnsi="Arial" w:cs="Arial"/>
        </w:rPr>
        <w:t>.</w:t>
      </w:r>
    </w:p>
    <w:p w:rsidR="004F5A47" w:rsidRDefault="004F5A47" w:rsidP="004F5A47">
      <w:pPr>
        <w:pStyle w:val="NormalWeb"/>
        <w:shd w:val="clear" w:color="auto" w:fill="FFFFFF"/>
        <w:spacing w:line="360" w:lineRule="auto"/>
        <w:jc w:val="both"/>
        <w:rPr>
          <w:rFonts w:ascii="Arial" w:hAnsi="Arial" w:cs="Arial"/>
        </w:rPr>
      </w:pPr>
      <w:r w:rsidRPr="00F06019">
        <w:rPr>
          <w:rFonts w:ascii="Arial" w:hAnsi="Arial" w:cs="Arial"/>
        </w:rPr>
        <w:t>Sin embargo</w:t>
      </w:r>
      <w:r>
        <w:rPr>
          <w:rFonts w:ascii="Arial" w:hAnsi="Arial" w:cs="Arial"/>
        </w:rPr>
        <w:t>,</w:t>
      </w:r>
      <w:r w:rsidRPr="00F06019">
        <w:rPr>
          <w:rFonts w:ascii="Arial" w:hAnsi="Arial" w:cs="Arial"/>
        </w:rPr>
        <w:t xml:space="preserve"> aun</w:t>
      </w:r>
      <w:r>
        <w:rPr>
          <w:rFonts w:ascii="Arial" w:hAnsi="Arial" w:cs="Arial"/>
        </w:rPr>
        <w:t>que</w:t>
      </w:r>
      <w:r w:rsidRPr="00F06019">
        <w:rPr>
          <w:rFonts w:ascii="Arial" w:hAnsi="Arial" w:cs="Arial"/>
        </w:rPr>
        <w:t xml:space="preserve"> en materia de derecho al consumidor </w:t>
      </w:r>
      <w:r>
        <w:rPr>
          <w:rFonts w:ascii="Arial" w:hAnsi="Arial" w:cs="Arial"/>
        </w:rPr>
        <w:t xml:space="preserve">se </w:t>
      </w:r>
      <w:r w:rsidRPr="00F06019">
        <w:rPr>
          <w:rFonts w:ascii="Arial" w:hAnsi="Arial" w:cs="Arial"/>
        </w:rPr>
        <w:t xml:space="preserve">ha realizado distinción entre publicidad y propaganda comercial, el </w:t>
      </w:r>
      <w:r>
        <w:rPr>
          <w:rFonts w:ascii="Arial" w:hAnsi="Arial" w:cs="Arial"/>
        </w:rPr>
        <w:t>Congreso</w:t>
      </w:r>
      <w:r w:rsidRPr="00F06019">
        <w:rPr>
          <w:rFonts w:ascii="Arial" w:hAnsi="Arial" w:cs="Arial"/>
        </w:rPr>
        <w:t xml:space="preserve"> ha sido </w:t>
      </w:r>
      <w:r>
        <w:rPr>
          <w:rFonts w:ascii="Arial" w:hAnsi="Arial" w:cs="Arial"/>
        </w:rPr>
        <w:t>renuente</w:t>
      </w:r>
      <w:r w:rsidRPr="00F06019">
        <w:rPr>
          <w:rFonts w:ascii="Arial" w:hAnsi="Arial" w:cs="Arial"/>
        </w:rPr>
        <w:t xml:space="preserve"> en realizar tal diferenciación, </w:t>
      </w:r>
      <w:r>
        <w:rPr>
          <w:rFonts w:ascii="Arial" w:hAnsi="Arial" w:cs="Arial"/>
        </w:rPr>
        <w:t>posición</w:t>
      </w:r>
      <w:r w:rsidRPr="00F06019">
        <w:rPr>
          <w:rFonts w:ascii="Arial" w:hAnsi="Arial" w:cs="Arial"/>
        </w:rPr>
        <w:t xml:space="preserve"> </w:t>
      </w:r>
      <w:r>
        <w:rPr>
          <w:rFonts w:ascii="Arial" w:hAnsi="Arial" w:cs="Arial"/>
        </w:rPr>
        <w:t>secundada</w:t>
      </w:r>
      <w:r w:rsidRPr="00F06019">
        <w:rPr>
          <w:rFonts w:ascii="Arial" w:hAnsi="Arial" w:cs="Arial"/>
        </w:rPr>
        <w:t xml:space="preserve"> </w:t>
      </w:r>
      <w:r>
        <w:rPr>
          <w:rFonts w:ascii="Arial" w:hAnsi="Arial" w:cs="Arial"/>
        </w:rPr>
        <w:t>por la Corte Constitucional</w:t>
      </w:r>
      <w:r>
        <w:rPr>
          <w:rStyle w:val="Refdenotaalpie"/>
          <w:rFonts w:ascii="Arial" w:hAnsi="Arial" w:cs="Arial"/>
        </w:rPr>
        <w:footnoteReference w:id="25"/>
      </w:r>
      <w:r w:rsidRPr="00F06019">
        <w:rPr>
          <w:rFonts w:ascii="Arial" w:hAnsi="Arial" w:cs="Arial"/>
        </w:rPr>
        <w:t xml:space="preserve"> y que permite un uso indistinto de d</w:t>
      </w:r>
      <w:r>
        <w:rPr>
          <w:rFonts w:ascii="Arial" w:hAnsi="Arial" w:cs="Arial"/>
        </w:rPr>
        <w:t>ichos conceptos, aun cuando el actual Estatuto del C</w:t>
      </w:r>
      <w:r w:rsidRPr="00F06019">
        <w:rPr>
          <w:rFonts w:ascii="Arial" w:hAnsi="Arial" w:cs="Arial"/>
        </w:rPr>
        <w:t>onsumidor ya no contiene disposiciones que incluyan el término de “propaganda comercial”.</w:t>
      </w:r>
    </w:p>
    <w:p w:rsidR="004F5A47" w:rsidRDefault="004F5A47" w:rsidP="004F5A47">
      <w:pPr>
        <w:pStyle w:val="NormalWeb"/>
        <w:shd w:val="clear" w:color="auto" w:fill="FFFFFF"/>
        <w:spacing w:line="360" w:lineRule="auto"/>
        <w:jc w:val="both"/>
        <w:rPr>
          <w:rFonts w:ascii="Arial" w:hAnsi="Arial" w:cs="Arial"/>
        </w:rPr>
      </w:pPr>
      <w:r>
        <w:rPr>
          <w:rFonts w:ascii="Arial" w:hAnsi="Arial" w:cs="Arial"/>
        </w:rPr>
        <w:t>De esta manera</w:t>
      </w:r>
      <w:r w:rsidRPr="00F06019">
        <w:rPr>
          <w:rFonts w:ascii="Arial" w:hAnsi="Arial" w:cs="Arial"/>
        </w:rPr>
        <w:t xml:space="preserve">, la </w:t>
      </w:r>
      <w:r>
        <w:rPr>
          <w:rFonts w:ascii="Arial" w:hAnsi="Arial" w:cs="Arial"/>
        </w:rPr>
        <w:t>noción</w:t>
      </w:r>
      <w:r w:rsidRPr="00F06019">
        <w:rPr>
          <w:rFonts w:ascii="Arial" w:hAnsi="Arial" w:cs="Arial"/>
        </w:rPr>
        <w:t xml:space="preserve"> de publicidad en el a</w:t>
      </w:r>
      <w:r>
        <w:rPr>
          <w:rFonts w:ascii="Arial" w:hAnsi="Arial" w:cs="Arial"/>
        </w:rPr>
        <w:t xml:space="preserve">ntiguo estatuto del consumidor </w:t>
      </w:r>
      <w:r w:rsidRPr="00F06019">
        <w:rPr>
          <w:rFonts w:ascii="Arial" w:hAnsi="Arial" w:cs="Arial"/>
        </w:rPr>
        <w:t xml:space="preserve">era demasiado </w:t>
      </w:r>
      <w:r>
        <w:rPr>
          <w:rFonts w:ascii="Arial" w:hAnsi="Arial" w:cs="Arial"/>
        </w:rPr>
        <w:t>amplia y limitada a lo expresado en el artículo 14</w:t>
      </w:r>
      <w:r w:rsidRPr="00F06019">
        <w:rPr>
          <w:rFonts w:ascii="Arial" w:hAnsi="Arial" w:cs="Arial"/>
        </w:rPr>
        <w:t xml:space="preserve">: “Toda información que se dé al consumidor acerca de los componentes y propiedades de los bienes y servicios que se ofrezcan al público deberá </w:t>
      </w:r>
      <w:r w:rsidRPr="00C60D96">
        <w:rPr>
          <w:rFonts w:ascii="Arial" w:hAnsi="Arial" w:cs="Arial"/>
          <w:i/>
        </w:rPr>
        <w:t>ser veraz y suficiente</w:t>
      </w:r>
      <w:r>
        <w:rPr>
          <w:rFonts w:ascii="Arial" w:hAnsi="Arial" w:cs="Arial"/>
        </w:rPr>
        <w:t xml:space="preserve">. Están prohibidas, por lo tanto, </w:t>
      </w:r>
      <w:r w:rsidRPr="00F06019">
        <w:rPr>
          <w:rFonts w:ascii="Arial" w:hAnsi="Arial" w:cs="Arial"/>
        </w:rPr>
        <w:t>las marcas, las leyendas y la propaganda comercial que no corresponda a la realidad, así como las que induzcan o puedan inducir a error respecto de la naturaleza, el origen, el modo de fabricación, los componentes, los usos, el volumen, peso o medida, los precios, la forma de empleo, las características, las propiedades, la calidad, la idoneidad o la cantidad de los bienes o servicios ofrecidos”.</w:t>
      </w:r>
    </w:p>
    <w:p w:rsidR="004F5A47" w:rsidRDefault="004F5A47" w:rsidP="004F5A47">
      <w:pPr>
        <w:pStyle w:val="NormalWeb"/>
        <w:shd w:val="clear" w:color="auto" w:fill="FFFFFF"/>
        <w:spacing w:line="360" w:lineRule="auto"/>
        <w:jc w:val="both"/>
        <w:rPr>
          <w:rFonts w:ascii="Arial" w:hAnsi="Arial" w:cs="Arial"/>
          <w:spacing w:val="8"/>
          <w:shd w:val="clear" w:color="auto" w:fill="FFFFFF"/>
        </w:rPr>
      </w:pPr>
      <w:r w:rsidRPr="00942DC7">
        <w:rPr>
          <w:rFonts w:ascii="Arial" w:hAnsi="Arial" w:cs="Arial"/>
        </w:rPr>
        <w:t xml:space="preserve">No obstante la claridad de la prohibición que debería considerarse una restricción a la publicidad engañosa, la Superintendencia de Industria y Comercio definió cómo debía entenderse la </w:t>
      </w:r>
      <w:r>
        <w:rPr>
          <w:rFonts w:ascii="Arial" w:hAnsi="Arial" w:cs="Arial"/>
        </w:rPr>
        <w:t xml:space="preserve">publicidad engañosa, </w:t>
      </w:r>
      <w:r w:rsidRPr="00942DC7">
        <w:rPr>
          <w:rFonts w:ascii="Arial" w:hAnsi="Arial" w:cs="Arial"/>
        </w:rPr>
        <w:t>refiriéndose específicamente a la información proporcionada al consumidor</w:t>
      </w:r>
      <w:r>
        <w:rPr>
          <w:rFonts w:ascii="Arial" w:hAnsi="Arial" w:cs="Arial"/>
        </w:rPr>
        <w:t xml:space="preserve">, según la cual </w:t>
      </w:r>
      <w:r w:rsidRPr="00942DC7">
        <w:rPr>
          <w:rFonts w:ascii="Arial" w:hAnsi="Arial" w:cs="Arial"/>
        </w:rPr>
        <w:t>“</w:t>
      </w:r>
      <w:r>
        <w:rPr>
          <w:rFonts w:ascii="Arial" w:hAnsi="Arial" w:cs="Arial"/>
        </w:rPr>
        <w:t>s</w:t>
      </w:r>
      <w:r w:rsidRPr="00942DC7">
        <w:rPr>
          <w:rFonts w:ascii="Arial" w:hAnsi="Arial" w:cs="Arial"/>
          <w:spacing w:val="8"/>
          <w:shd w:val="clear" w:color="auto" w:fill="FFFFFF"/>
        </w:rPr>
        <w:t>e considera engañosa toda información contenida en la propaganda comercial, marca o leyenda, incluida la presentación del producto, que de cualquier manera induzca a error o pueda inducir a error a los consumidores o personas a las que se dirige y que puede afectar su comportamiento económico</w:t>
      </w:r>
      <w:r w:rsidR="00B36C65">
        <w:rPr>
          <w:rFonts w:ascii="Arial" w:hAnsi="Arial" w:cs="Arial"/>
          <w:spacing w:val="8"/>
          <w:shd w:val="clear" w:color="auto" w:fill="FFFFFF"/>
        </w:rPr>
        <w:t>”</w:t>
      </w:r>
      <w:r w:rsidR="00B36C65">
        <w:rPr>
          <w:rStyle w:val="Refdenotaalpie"/>
          <w:rFonts w:ascii="Arial" w:hAnsi="Arial" w:cs="Arial"/>
          <w:spacing w:val="8"/>
          <w:shd w:val="clear" w:color="auto" w:fill="FFFFFF"/>
        </w:rPr>
        <w:footnoteReference w:id="26"/>
      </w:r>
    </w:p>
    <w:p w:rsidR="004F5A47" w:rsidRDefault="004F5A47" w:rsidP="004F5A47">
      <w:pPr>
        <w:pStyle w:val="NormalWeb"/>
        <w:shd w:val="clear" w:color="auto" w:fill="FFFFFF"/>
        <w:spacing w:line="360" w:lineRule="auto"/>
        <w:jc w:val="both"/>
        <w:rPr>
          <w:rFonts w:ascii="Arial" w:hAnsi="Arial" w:cs="Arial"/>
        </w:rPr>
      </w:pPr>
      <w:r w:rsidRPr="00942DC7">
        <w:rPr>
          <w:rFonts w:ascii="Arial" w:hAnsi="Arial" w:cs="Arial"/>
        </w:rPr>
        <w:t>Y aunque aún existen diferencias en el manejo de términos específicos y dificultades en el ajuste a las nuevas realidades mediadas por las dinámicas propias del comercio electrónico, o un más amplio espectro en la protección de los derechos del consumidor, en lo que corresponde al tema publicitario, el actual Estatuto del Consumidor incluye la publicidad engañosa, la responsabilidad del anunciante y las obligaciones que surgen para el anunciante en función de las condiciones y especificaciones objetivas de la propaganda, determinando los procedimientos por medio de los cuales se harán efectivas las sanciones y reclamaciones a consecuencia del desconocimiento de estas regulaciones.</w:t>
      </w:r>
      <w:r>
        <w:rPr>
          <w:rFonts w:ascii="Arial" w:hAnsi="Arial" w:cs="Arial"/>
        </w:rPr>
        <w:t xml:space="preserve"> </w:t>
      </w:r>
    </w:p>
    <w:p w:rsidR="004F5A47" w:rsidRPr="00EC607E" w:rsidRDefault="004F5A47" w:rsidP="004F5A47">
      <w:pPr>
        <w:pStyle w:val="NormalWeb"/>
        <w:shd w:val="clear" w:color="auto" w:fill="FFFFFF"/>
        <w:spacing w:line="360" w:lineRule="auto"/>
        <w:jc w:val="both"/>
        <w:rPr>
          <w:rFonts w:ascii="Arial" w:hAnsi="Arial" w:cs="Arial"/>
        </w:rPr>
      </w:pPr>
      <w:r>
        <w:rPr>
          <w:rFonts w:ascii="Arial" w:hAnsi="Arial" w:cs="Arial"/>
        </w:rPr>
        <w:t>Entonces, t</w:t>
      </w:r>
      <w:r w:rsidRPr="00EC607E">
        <w:rPr>
          <w:rFonts w:ascii="Arial" w:hAnsi="Arial" w:cs="Arial"/>
        </w:rPr>
        <w:t xml:space="preserve">eniendo en cuenta que el artículo 5° del Estatuto del Consumidor define qué es publicidad y también cuando esta será engañosa, </w:t>
      </w:r>
      <w:r>
        <w:rPr>
          <w:rFonts w:ascii="Arial" w:hAnsi="Arial" w:cs="Arial"/>
        </w:rPr>
        <w:t xml:space="preserve">actualmente </w:t>
      </w:r>
      <w:r w:rsidRPr="00EC607E">
        <w:rPr>
          <w:rFonts w:ascii="Arial" w:hAnsi="Arial" w:cs="Arial"/>
        </w:rPr>
        <w:t>no se menciona</w:t>
      </w:r>
      <w:r>
        <w:rPr>
          <w:rFonts w:ascii="Arial" w:hAnsi="Arial" w:cs="Arial"/>
        </w:rPr>
        <w:t>n</w:t>
      </w:r>
      <w:r w:rsidRPr="00EC607E">
        <w:rPr>
          <w:rFonts w:ascii="Arial" w:hAnsi="Arial" w:cs="Arial"/>
        </w:rPr>
        <w:t xml:space="preserve"> de forma clara y suficiente</w:t>
      </w:r>
      <w:r>
        <w:rPr>
          <w:rFonts w:ascii="Arial" w:hAnsi="Arial" w:cs="Arial"/>
        </w:rPr>
        <w:t xml:space="preserve"> en los medios de comunicación,</w:t>
      </w:r>
      <w:r w:rsidRPr="00EC607E">
        <w:rPr>
          <w:rFonts w:ascii="Arial" w:hAnsi="Arial" w:cs="Arial"/>
        </w:rPr>
        <w:t xml:space="preserve"> los riesgos </w:t>
      </w:r>
      <w:r>
        <w:rPr>
          <w:rFonts w:ascii="Arial" w:hAnsi="Arial" w:cs="Arial"/>
        </w:rPr>
        <w:t xml:space="preserve">implicados </w:t>
      </w:r>
      <w:r w:rsidRPr="00EC607E">
        <w:rPr>
          <w:rFonts w:ascii="Arial" w:hAnsi="Arial" w:cs="Arial"/>
        </w:rPr>
        <w:t>en el consumo de medicamentos OTC.</w:t>
      </w:r>
    </w:p>
    <w:p w:rsidR="00C13F3E" w:rsidRDefault="00C13F3E" w:rsidP="00526427">
      <w:pPr>
        <w:pStyle w:val="NormalWeb"/>
        <w:shd w:val="clear" w:color="auto" w:fill="FFFFFF"/>
        <w:spacing w:line="360" w:lineRule="auto"/>
        <w:jc w:val="both"/>
        <w:rPr>
          <w:rFonts w:ascii="Arial" w:hAnsi="Arial" w:cs="Arial"/>
        </w:rPr>
      </w:pPr>
      <w:r w:rsidRPr="0034267E">
        <w:rPr>
          <w:rFonts w:ascii="Arial" w:hAnsi="Arial" w:cs="Arial"/>
        </w:rPr>
        <w:t xml:space="preserve">Este amplio consumo de medicamentos de venta libre y sin prescripción médica, representa un problema social pues puede llevar a que no se adopten medidas preventivas: </w:t>
      </w:r>
      <w:r w:rsidRPr="00640206">
        <w:rPr>
          <w:rFonts w:ascii="Arial" w:hAnsi="Arial" w:cs="Arial"/>
          <w:u w:val="single"/>
        </w:rPr>
        <w:t>la publicidad de medicamentos</w:t>
      </w:r>
      <w:r w:rsidRPr="0034267E">
        <w:rPr>
          <w:rFonts w:ascii="Arial" w:hAnsi="Arial" w:cs="Arial"/>
        </w:rPr>
        <w:t xml:space="preserve"> a veces muestra que el individuo puede comer lo que quiera y después recurrir a algún medicamento para evitar los efectos secundarios de la comida. Además, esto representa una fuente adicional de gasto, tanto en el seno famil</w:t>
      </w:r>
      <w:r>
        <w:rPr>
          <w:rFonts w:ascii="Arial" w:hAnsi="Arial" w:cs="Arial"/>
        </w:rPr>
        <w:t>iar como en el sistema de salud.</w:t>
      </w:r>
      <w:r>
        <w:rPr>
          <w:rStyle w:val="Refdenotaalpie"/>
          <w:rFonts w:ascii="Arial" w:hAnsi="Arial" w:cs="Arial"/>
        </w:rPr>
        <w:footnoteReference w:id="27"/>
      </w:r>
    </w:p>
    <w:p w:rsidR="00C13F3E" w:rsidRDefault="00C13F3E" w:rsidP="00526427">
      <w:pPr>
        <w:pStyle w:val="NormalWeb"/>
        <w:shd w:val="clear" w:color="auto" w:fill="FFFFFF"/>
        <w:spacing w:line="360" w:lineRule="auto"/>
        <w:jc w:val="both"/>
        <w:rPr>
          <w:rFonts w:ascii="Arial" w:hAnsi="Arial" w:cs="Arial"/>
        </w:rPr>
      </w:pPr>
      <w:r>
        <w:rPr>
          <w:rFonts w:ascii="Arial" w:hAnsi="Arial" w:cs="Arial"/>
        </w:rPr>
        <w:t>En Estados Unidos, h</w:t>
      </w:r>
      <w:r w:rsidRPr="0004730D">
        <w:rPr>
          <w:rFonts w:ascii="Arial" w:hAnsi="Arial" w:cs="Arial"/>
        </w:rPr>
        <w:t xml:space="preserve">asta finales de la década de 1980, las compañías farmacéuticas limitaban su publicidad a los médicos y otros profesionales de la salud. Entonces </w:t>
      </w:r>
      <w:r>
        <w:rPr>
          <w:rFonts w:ascii="Arial" w:hAnsi="Arial" w:cs="Arial"/>
        </w:rPr>
        <w:t>comenzó a producirse un cambio como</w:t>
      </w:r>
      <w:r w:rsidRPr="0004730D">
        <w:rPr>
          <w:rFonts w:ascii="Arial" w:hAnsi="Arial" w:cs="Arial"/>
        </w:rPr>
        <w:t xml:space="preserve"> respuesta al mayor papel que los pacientes estaban desempeñando en </w:t>
      </w:r>
      <w:r>
        <w:rPr>
          <w:rFonts w:ascii="Arial" w:hAnsi="Arial" w:cs="Arial"/>
        </w:rPr>
        <w:t>las</w:t>
      </w:r>
      <w:r w:rsidRPr="0004730D">
        <w:rPr>
          <w:rFonts w:ascii="Arial" w:hAnsi="Arial" w:cs="Arial"/>
        </w:rPr>
        <w:t xml:space="preserve"> decisiones relac</w:t>
      </w:r>
      <w:r>
        <w:rPr>
          <w:rFonts w:ascii="Arial" w:hAnsi="Arial" w:cs="Arial"/>
        </w:rPr>
        <w:t>ionadas con su atención médica, normalizando así la</w:t>
      </w:r>
      <w:r w:rsidRPr="0004730D">
        <w:rPr>
          <w:rFonts w:ascii="Arial" w:hAnsi="Arial" w:cs="Arial"/>
        </w:rPr>
        <w:t xml:space="preserve"> </w:t>
      </w:r>
      <w:r>
        <w:rPr>
          <w:rFonts w:ascii="Arial" w:hAnsi="Arial" w:cs="Arial"/>
        </w:rPr>
        <w:t>publicidad f</w:t>
      </w:r>
      <w:r w:rsidRPr="005077BE">
        <w:rPr>
          <w:rFonts w:ascii="Arial" w:hAnsi="Arial" w:cs="Arial"/>
        </w:rPr>
        <w:t>arm</w:t>
      </w:r>
      <w:r>
        <w:rPr>
          <w:rFonts w:ascii="Arial" w:hAnsi="Arial" w:cs="Arial"/>
        </w:rPr>
        <w:t>acéutica “Directa al C</w:t>
      </w:r>
      <w:r w:rsidRPr="005077BE">
        <w:rPr>
          <w:rFonts w:ascii="Arial" w:hAnsi="Arial" w:cs="Arial"/>
        </w:rPr>
        <w:t>onsumidor (DTC)</w:t>
      </w:r>
      <w:r>
        <w:rPr>
          <w:rFonts w:ascii="Arial" w:hAnsi="Arial" w:cs="Arial"/>
        </w:rPr>
        <w:t>”</w:t>
      </w:r>
      <w:r w:rsidRPr="0004730D">
        <w:rPr>
          <w:rFonts w:ascii="Arial" w:hAnsi="Arial" w:cs="Arial"/>
        </w:rPr>
        <w:t xml:space="preserve"> </w:t>
      </w:r>
      <w:r>
        <w:rPr>
          <w:rFonts w:ascii="Arial" w:hAnsi="Arial" w:cs="Arial"/>
        </w:rPr>
        <w:t xml:space="preserve">que </w:t>
      </w:r>
      <w:r w:rsidRPr="0004730D">
        <w:rPr>
          <w:rFonts w:ascii="Arial" w:hAnsi="Arial" w:cs="Arial"/>
        </w:rPr>
        <w:t>se hizo más común</w:t>
      </w:r>
      <w:r w:rsidR="00CD5025">
        <w:rPr>
          <w:rStyle w:val="Refdenotaalpie"/>
          <w:rFonts w:ascii="Arial" w:hAnsi="Arial" w:cs="Arial"/>
        </w:rPr>
        <w:footnoteReference w:id="28"/>
      </w:r>
      <w:r w:rsidRPr="0004730D">
        <w:rPr>
          <w:rFonts w:ascii="Arial" w:hAnsi="Arial" w:cs="Arial"/>
        </w:rPr>
        <w:t xml:space="preserve">. </w:t>
      </w:r>
    </w:p>
    <w:p w:rsidR="00C13F3E" w:rsidRDefault="00C13F3E" w:rsidP="00526427">
      <w:pPr>
        <w:pStyle w:val="NormalWeb"/>
        <w:shd w:val="clear" w:color="auto" w:fill="FFFFFF"/>
        <w:spacing w:line="360" w:lineRule="auto"/>
        <w:jc w:val="both"/>
        <w:rPr>
          <w:rFonts w:ascii="Arial" w:hAnsi="Arial" w:cs="Arial"/>
        </w:rPr>
      </w:pPr>
      <w:r w:rsidRPr="0004730D">
        <w:rPr>
          <w:rFonts w:ascii="Arial" w:hAnsi="Arial" w:cs="Arial"/>
        </w:rPr>
        <w:t xml:space="preserve">A principios de la administración del presidente George Bush, la </w:t>
      </w:r>
      <w:r w:rsidR="00B512DE">
        <w:rPr>
          <w:rFonts w:ascii="Arial" w:hAnsi="Arial" w:cs="Arial"/>
        </w:rPr>
        <w:t xml:space="preserve">Federal </w:t>
      </w:r>
      <w:proofErr w:type="spellStart"/>
      <w:r w:rsidR="00B512DE">
        <w:rPr>
          <w:rFonts w:ascii="Arial" w:hAnsi="Arial" w:cs="Arial"/>
        </w:rPr>
        <w:t>Drugs</w:t>
      </w:r>
      <w:proofErr w:type="spellEnd"/>
      <w:r w:rsidR="00B512DE">
        <w:rPr>
          <w:rFonts w:ascii="Arial" w:hAnsi="Arial" w:cs="Arial"/>
        </w:rPr>
        <w:t xml:space="preserve"> </w:t>
      </w:r>
      <w:proofErr w:type="spellStart"/>
      <w:r w:rsidR="00B512DE">
        <w:rPr>
          <w:rFonts w:ascii="Arial" w:hAnsi="Arial" w:cs="Arial"/>
        </w:rPr>
        <w:t>Administration</w:t>
      </w:r>
      <w:proofErr w:type="spellEnd"/>
      <w:r w:rsidR="00B512DE">
        <w:rPr>
          <w:rFonts w:ascii="Arial" w:hAnsi="Arial" w:cs="Arial"/>
        </w:rPr>
        <w:t xml:space="preserve"> (</w:t>
      </w:r>
      <w:r w:rsidRPr="0004730D">
        <w:rPr>
          <w:rFonts w:ascii="Arial" w:hAnsi="Arial" w:cs="Arial"/>
        </w:rPr>
        <w:t>FDA</w:t>
      </w:r>
      <w:r w:rsidR="00B512DE">
        <w:rPr>
          <w:rFonts w:ascii="Arial" w:hAnsi="Arial" w:cs="Arial"/>
        </w:rPr>
        <w:t>)</w:t>
      </w:r>
      <w:r w:rsidRPr="0004730D">
        <w:rPr>
          <w:rFonts w:ascii="Arial" w:hAnsi="Arial" w:cs="Arial"/>
        </w:rPr>
        <w:t xml:space="preserve"> concluyó una serie de encuestas que respaldaron en gran medida a los fabricantes para seguir confiando en la publicidad DTC</w:t>
      </w:r>
      <w:r>
        <w:rPr>
          <w:rFonts w:ascii="Arial" w:hAnsi="Arial" w:cs="Arial"/>
        </w:rPr>
        <w:t>; e</w:t>
      </w:r>
      <w:r w:rsidRPr="0004730D">
        <w:rPr>
          <w:rFonts w:ascii="Arial" w:hAnsi="Arial" w:cs="Arial"/>
        </w:rPr>
        <w:t xml:space="preserve">n general, los médicos creían que la publicidad </w:t>
      </w:r>
      <w:r>
        <w:rPr>
          <w:rFonts w:ascii="Arial" w:hAnsi="Arial" w:cs="Arial"/>
        </w:rPr>
        <w:t>DTC hacía</w:t>
      </w:r>
      <w:r w:rsidRPr="0004730D">
        <w:rPr>
          <w:rFonts w:ascii="Arial" w:hAnsi="Arial" w:cs="Arial"/>
        </w:rPr>
        <w:t xml:space="preserve"> que los pacientes </w:t>
      </w:r>
      <w:r>
        <w:rPr>
          <w:rFonts w:ascii="Arial" w:hAnsi="Arial" w:cs="Arial"/>
        </w:rPr>
        <w:t>hicieran</w:t>
      </w:r>
      <w:r w:rsidRPr="0004730D">
        <w:rPr>
          <w:rFonts w:ascii="Arial" w:hAnsi="Arial" w:cs="Arial"/>
        </w:rPr>
        <w:t xml:space="preserve"> preguntas informadas sobre un medicamento y se involucr</w:t>
      </w:r>
      <w:r>
        <w:rPr>
          <w:rFonts w:ascii="Arial" w:hAnsi="Arial" w:cs="Arial"/>
        </w:rPr>
        <w:t>aran</w:t>
      </w:r>
      <w:r w:rsidRPr="0004730D">
        <w:rPr>
          <w:rFonts w:ascii="Arial" w:hAnsi="Arial" w:cs="Arial"/>
        </w:rPr>
        <w:t xml:space="preserve"> más en su atención médica.</w:t>
      </w:r>
      <w:r>
        <w:rPr>
          <w:rFonts w:ascii="Arial" w:hAnsi="Arial" w:cs="Arial"/>
        </w:rPr>
        <w:t xml:space="preserve"> Así, e</w:t>
      </w:r>
      <w:r w:rsidRPr="0004730D">
        <w:rPr>
          <w:rFonts w:ascii="Arial" w:hAnsi="Arial" w:cs="Arial"/>
        </w:rPr>
        <w:t>n la gran mayoría de los casos, cuando u</w:t>
      </w:r>
      <w:r>
        <w:rPr>
          <w:rFonts w:ascii="Arial" w:hAnsi="Arial" w:cs="Arial"/>
        </w:rPr>
        <w:t>n paciente pedía un medicamento</w:t>
      </w:r>
      <w:r w:rsidRPr="0004730D">
        <w:rPr>
          <w:rFonts w:ascii="Arial" w:hAnsi="Arial" w:cs="Arial"/>
        </w:rPr>
        <w:t xml:space="preserve">, tenía </w:t>
      </w:r>
      <w:r>
        <w:rPr>
          <w:rFonts w:ascii="Arial" w:hAnsi="Arial" w:cs="Arial"/>
        </w:rPr>
        <w:t>el problema</w:t>
      </w:r>
      <w:r w:rsidRPr="0004730D">
        <w:rPr>
          <w:rFonts w:ascii="Arial" w:hAnsi="Arial" w:cs="Arial"/>
        </w:rPr>
        <w:t xml:space="preserve"> que </w:t>
      </w:r>
      <w:r>
        <w:rPr>
          <w:rFonts w:ascii="Arial" w:hAnsi="Arial" w:cs="Arial"/>
        </w:rPr>
        <w:t xml:space="preserve">el medicamento pretendía tratar, pero curiosamente </w:t>
      </w:r>
      <w:r w:rsidRPr="0004730D">
        <w:rPr>
          <w:rFonts w:ascii="Arial" w:hAnsi="Arial" w:cs="Arial"/>
        </w:rPr>
        <w:t xml:space="preserve">más de la mitad de los pacientes encuestados creían que la publicidad de medicamentos exageraba los beneficios </w:t>
      </w:r>
      <w:r>
        <w:rPr>
          <w:rFonts w:ascii="Arial" w:hAnsi="Arial" w:cs="Arial"/>
        </w:rPr>
        <w:t>de un medicamento en particular</w:t>
      </w:r>
      <w:r w:rsidRPr="0004730D">
        <w:rPr>
          <w:rFonts w:ascii="Arial" w:hAnsi="Arial" w:cs="Arial"/>
        </w:rPr>
        <w:t>.</w:t>
      </w:r>
    </w:p>
    <w:p w:rsidR="00C13F3E" w:rsidRDefault="00C13F3E" w:rsidP="00526427">
      <w:pPr>
        <w:pStyle w:val="NormalWeb"/>
        <w:shd w:val="clear" w:color="auto" w:fill="FFFFFF"/>
        <w:spacing w:line="360" w:lineRule="auto"/>
        <w:jc w:val="both"/>
        <w:rPr>
          <w:rFonts w:ascii="Arial" w:hAnsi="Arial" w:cs="Arial"/>
        </w:rPr>
      </w:pPr>
      <w:r w:rsidRPr="00F4592D">
        <w:rPr>
          <w:rFonts w:ascii="Arial" w:hAnsi="Arial" w:cs="Arial"/>
        </w:rPr>
        <w:t>Ni los defensores de los consumidores</w:t>
      </w:r>
      <w:r>
        <w:rPr>
          <w:rFonts w:ascii="Arial" w:hAnsi="Arial" w:cs="Arial"/>
        </w:rPr>
        <w:t>,</w:t>
      </w:r>
      <w:r w:rsidRPr="00F4592D">
        <w:rPr>
          <w:rFonts w:ascii="Arial" w:hAnsi="Arial" w:cs="Arial"/>
        </w:rPr>
        <w:t xml:space="preserve"> ni la industria farmacéutica discuten que la publicidad farmacéutica</w:t>
      </w:r>
      <w:r>
        <w:rPr>
          <w:rFonts w:ascii="Arial" w:hAnsi="Arial" w:cs="Arial"/>
        </w:rPr>
        <w:t xml:space="preserve"> </w:t>
      </w:r>
      <w:r w:rsidRPr="00F4592D">
        <w:rPr>
          <w:rFonts w:ascii="Arial" w:hAnsi="Arial" w:cs="Arial"/>
        </w:rPr>
        <w:t>aumente la demanda de medicamentos publicitados. La industria farmacéutica gasta miles de millones cada año en dichos anuncios DTC, que constituyen la mayor parte de sus presupuestos de marketing. Un estudio realizado en 2003 por investigadores del MIT y Harvard concluyó que un aumento del 10% en la publicidad DTC</w:t>
      </w:r>
      <w:r>
        <w:rPr>
          <w:rFonts w:ascii="Arial" w:hAnsi="Arial" w:cs="Arial"/>
        </w:rPr>
        <w:t xml:space="preserve"> </w:t>
      </w:r>
      <w:r w:rsidRPr="00F4592D">
        <w:rPr>
          <w:rFonts w:ascii="Arial" w:hAnsi="Arial" w:cs="Arial"/>
        </w:rPr>
        <w:t>dentro de una</w:t>
      </w:r>
      <w:r>
        <w:rPr>
          <w:rFonts w:ascii="Arial" w:hAnsi="Arial" w:cs="Arial"/>
        </w:rPr>
        <w:t xml:space="preserve"> </w:t>
      </w:r>
      <w:r w:rsidRPr="00F4592D">
        <w:rPr>
          <w:rFonts w:ascii="Arial" w:hAnsi="Arial" w:cs="Arial"/>
        </w:rPr>
        <w:t>clase de medicamentos terapéuticos</w:t>
      </w:r>
      <w:r>
        <w:rPr>
          <w:rFonts w:ascii="Arial" w:hAnsi="Arial" w:cs="Arial"/>
        </w:rPr>
        <w:t xml:space="preserve"> </w:t>
      </w:r>
      <w:r w:rsidRPr="00F4592D">
        <w:rPr>
          <w:rFonts w:ascii="Arial" w:hAnsi="Arial" w:cs="Arial"/>
        </w:rPr>
        <w:t>estimuló un aumento del 1% en las ventas de medicamentos de esa clase</w:t>
      </w:r>
      <w:r w:rsidR="00286018">
        <w:rPr>
          <w:rStyle w:val="Refdenotaalpie"/>
          <w:rFonts w:ascii="Arial" w:hAnsi="Arial" w:cs="Arial"/>
        </w:rPr>
        <w:footnoteReference w:id="29"/>
      </w:r>
      <w:r w:rsidRPr="00F4592D">
        <w:rPr>
          <w:rFonts w:ascii="Arial" w:hAnsi="Arial" w:cs="Arial"/>
        </w:rPr>
        <w:t>. Significativamente, el estudio concluyó que dicha publicidad no aumentaba la participación de mercado de un fabricant</w:t>
      </w:r>
      <w:r>
        <w:rPr>
          <w:rFonts w:ascii="Arial" w:hAnsi="Arial" w:cs="Arial"/>
        </w:rPr>
        <w:t xml:space="preserve">e en particular de medicamentos, </w:t>
      </w:r>
      <w:r w:rsidRPr="00F4592D">
        <w:rPr>
          <w:rFonts w:ascii="Arial" w:hAnsi="Arial" w:cs="Arial"/>
        </w:rPr>
        <w:t>sino que más bien estimularon la demanda general de medicamentos de ese fabricante</w:t>
      </w:r>
      <w:r>
        <w:rPr>
          <w:rFonts w:ascii="Arial" w:hAnsi="Arial" w:cs="Arial"/>
        </w:rPr>
        <w:t xml:space="preserve"> y de medicamentos competidores.</w:t>
      </w:r>
    </w:p>
    <w:p w:rsidR="003D11A6" w:rsidRDefault="00C13F3E" w:rsidP="00526427">
      <w:pPr>
        <w:pStyle w:val="NormalWeb"/>
        <w:shd w:val="clear" w:color="auto" w:fill="FFFFFF"/>
        <w:spacing w:line="360" w:lineRule="auto"/>
        <w:jc w:val="both"/>
        <w:rPr>
          <w:rFonts w:ascii="Arial" w:hAnsi="Arial" w:cs="Arial"/>
        </w:rPr>
      </w:pPr>
      <w:r w:rsidRPr="000F41DE">
        <w:rPr>
          <w:rFonts w:ascii="Arial" w:hAnsi="Arial" w:cs="Arial"/>
        </w:rPr>
        <w:t xml:space="preserve">La industria farmacéutica gasta miles de millones anuales en marketing para médicos (más de $ 4,3 mil millones en 2014). </w:t>
      </w:r>
      <w:r>
        <w:rPr>
          <w:rFonts w:ascii="Arial" w:hAnsi="Arial" w:cs="Arial"/>
        </w:rPr>
        <w:t>Los laboratorios farmacéuticos</w:t>
      </w:r>
      <w:r w:rsidRPr="000F41DE">
        <w:rPr>
          <w:rFonts w:ascii="Arial" w:hAnsi="Arial" w:cs="Arial"/>
        </w:rPr>
        <w:t xml:space="preserve"> en su conjunto tiene</w:t>
      </w:r>
      <w:r>
        <w:rPr>
          <w:rFonts w:ascii="Arial" w:hAnsi="Arial" w:cs="Arial"/>
        </w:rPr>
        <w:t>n</w:t>
      </w:r>
      <w:r w:rsidRPr="000F41DE">
        <w:rPr>
          <w:rFonts w:ascii="Arial" w:hAnsi="Arial" w:cs="Arial"/>
        </w:rPr>
        <w:t xml:space="preserve"> mucha experiencia para determinar qué decir a los médicos, pero tiene</w:t>
      </w:r>
      <w:r>
        <w:rPr>
          <w:rFonts w:ascii="Arial" w:hAnsi="Arial" w:cs="Arial"/>
        </w:rPr>
        <w:t>n</w:t>
      </w:r>
      <w:r w:rsidRPr="000F41DE">
        <w:rPr>
          <w:rFonts w:ascii="Arial" w:hAnsi="Arial" w:cs="Arial"/>
        </w:rPr>
        <w:t xml:space="preserve"> menos confianza cuando se trata de </w:t>
      </w:r>
      <w:r w:rsidR="00F06D4B">
        <w:rPr>
          <w:rFonts w:ascii="Arial" w:hAnsi="Arial" w:cs="Arial"/>
        </w:rPr>
        <w:t>transmitirles el mensaje y suelen hacerlo utilizando</w:t>
      </w:r>
      <w:r w:rsidRPr="000F41DE">
        <w:rPr>
          <w:rFonts w:ascii="Arial" w:hAnsi="Arial" w:cs="Arial"/>
        </w:rPr>
        <w:t xml:space="preserve"> publicidad </w:t>
      </w:r>
      <w:r w:rsidR="00F06D4B">
        <w:rPr>
          <w:rFonts w:ascii="Arial" w:hAnsi="Arial" w:cs="Arial"/>
        </w:rPr>
        <w:t>poco efectiva</w:t>
      </w:r>
      <w:r w:rsidRPr="000F41DE">
        <w:rPr>
          <w:rFonts w:ascii="Arial" w:hAnsi="Arial" w:cs="Arial"/>
        </w:rPr>
        <w:t xml:space="preserve">, </w:t>
      </w:r>
      <w:r w:rsidR="00F06D4B">
        <w:rPr>
          <w:rFonts w:ascii="Arial" w:hAnsi="Arial" w:cs="Arial"/>
        </w:rPr>
        <w:t>elevando</w:t>
      </w:r>
      <w:r>
        <w:rPr>
          <w:rFonts w:ascii="Arial" w:hAnsi="Arial" w:cs="Arial"/>
        </w:rPr>
        <w:t xml:space="preserve"> el costo de</w:t>
      </w:r>
      <w:r w:rsidRPr="000F41DE">
        <w:rPr>
          <w:rFonts w:ascii="Arial" w:hAnsi="Arial" w:cs="Arial"/>
        </w:rPr>
        <w:t xml:space="preserve"> las ventas. En un esfuerzo por definir un conjunto de pautas basadas en reglas para </w:t>
      </w:r>
      <w:r>
        <w:rPr>
          <w:rFonts w:ascii="Arial" w:hAnsi="Arial" w:cs="Arial"/>
        </w:rPr>
        <w:t xml:space="preserve">posicionar </w:t>
      </w:r>
      <w:r w:rsidRPr="000F41DE">
        <w:rPr>
          <w:rFonts w:ascii="Arial" w:hAnsi="Arial" w:cs="Arial"/>
        </w:rPr>
        <w:t xml:space="preserve">una marca farmacéutica efectiva, </w:t>
      </w:r>
      <w:r>
        <w:rPr>
          <w:rFonts w:ascii="Arial" w:hAnsi="Arial" w:cs="Arial"/>
        </w:rPr>
        <w:t>un estudio adaptó</w:t>
      </w:r>
      <w:r w:rsidRPr="000F41DE">
        <w:rPr>
          <w:rFonts w:ascii="Arial" w:hAnsi="Arial" w:cs="Arial"/>
        </w:rPr>
        <w:t xml:space="preserve"> los arquetipos </w:t>
      </w:r>
      <w:proofErr w:type="spellStart"/>
      <w:r w:rsidRPr="000F41DE">
        <w:rPr>
          <w:rFonts w:ascii="Arial" w:hAnsi="Arial" w:cs="Arial"/>
        </w:rPr>
        <w:t>jungianos</w:t>
      </w:r>
      <w:proofErr w:type="spellEnd"/>
      <w:r w:rsidRPr="000F41DE">
        <w:rPr>
          <w:rFonts w:ascii="Arial" w:hAnsi="Arial" w:cs="Arial"/>
        </w:rPr>
        <w:t xml:space="preserve"> primarios</w:t>
      </w:r>
      <w:r w:rsidR="00F06D4B">
        <w:rPr>
          <w:rStyle w:val="Refdenotaalpie"/>
          <w:rFonts w:ascii="Arial" w:hAnsi="Arial" w:cs="Arial"/>
        </w:rPr>
        <w:footnoteReference w:id="30"/>
      </w:r>
      <w:r w:rsidRPr="000F41DE">
        <w:rPr>
          <w:rFonts w:ascii="Arial" w:hAnsi="Arial" w:cs="Arial"/>
        </w:rPr>
        <w:t xml:space="preserve"> para desarrollar la primera colección de tonos de voz arquetípic</w:t>
      </w:r>
      <w:r>
        <w:rPr>
          <w:rFonts w:ascii="Arial" w:hAnsi="Arial" w:cs="Arial"/>
        </w:rPr>
        <w:t>os para productos sanitarios</w:t>
      </w:r>
      <w:r w:rsidR="00F06D4B">
        <w:rPr>
          <w:rStyle w:val="Refdenotaalpie"/>
          <w:rFonts w:ascii="Arial" w:hAnsi="Arial" w:cs="Arial"/>
        </w:rPr>
        <w:footnoteReference w:id="31"/>
      </w:r>
      <w:r>
        <w:rPr>
          <w:rFonts w:ascii="Arial" w:hAnsi="Arial" w:cs="Arial"/>
        </w:rPr>
        <w:t xml:space="preserve">. </w:t>
      </w:r>
    </w:p>
    <w:p w:rsidR="00C13F3E" w:rsidRDefault="00F06D4B" w:rsidP="00526427">
      <w:pPr>
        <w:pStyle w:val="NormalWeb"/>
        <w:shd w:val="clear" w:color="auto" w:fill="FFFFFF"/>
        <w:spacing w:line="360" w:lineRule="auto"/>
        <w:jc w:val="both"/>
        <w:rPr>
          <w:rFonts w:ascii="Arial" w:hAnsi="Arial" w:cs="Arial"/>
        </w:rPr>
      </w:pPr>
      <w:r>
        <w:rPr>
          <w:rFonts w:ascii="Arial" w:hAnsi="Arial" w:cs="Arial"/>
        </w:rPr>
        <w:t>El</w:t>
      </w:r>
      <w:r w:rsidR="00C13F3E" w:rsidRPr="000F41DE">
        <w:rPr>
          <w:rFonts w:ascii="Arial" w:hAnsi="Arial" w:cs="Arial"/>
        </w:rPr>
        <w:t xml:space="preserve"> estudio </w:t>
      </w:r>
      <w:r w:rsidR="00C13F3E">
        <w:rPr>
          <w:rFonts w:ascii="Arial" w:hAnsi="Arial" w:cs="Arial"/>
        </w:rPr>
        <w:t>demostró</w:t>
      </w:r>
      <w:r w:rsidR="00C13F3E" w:rsidRPr="000F41DE">
        <w:rPr>
          <w:rFonts w:ascii="Arial" w:hAnsi="Arial" w:cs="Arial"/>
        </w:rPr>
        <w:t xml:space="preserve">, a través de una serie de análisis comparativos cualitativos de conjuntos difusos, que los anuncios bien ejecutados siguiendo un arquetipo se conectan consistentemente con audiencias </w:t>
      </w:r>
      <w:r w:rsidR="00C13F3E">
        <w:rPr>
          <w:rFonts w:ascii="Arial" w:hAnsi="Arial" w:cs="Arial"/>
        </w:rPr>
        <w:t xml:space="preserve">específicas </w:t>
      </w:r>
      <w:r w:rsidR="00C13F3E" w:rsidRPr="000F41DE">
        <w:rPr>
          <w:rFonts w:ascii="Arial" w:hAnsi="Arial" w:cs="Arial"/>
        </w:rPr>
        <w:t>de médicos, mientras que los anuncios de atención médica no jerárquicos demues</w:t>
      </w:r>
      <w:r w:rsidR="00C13F3E">
        <w:rPr>
          <w:rFonts w:ascii="Arial" w:hAnsi="Arial" w:cs="Arial"/>
        </w:rPr>
        <w:t xml:space="preserve">tran un desempeño inconsistente, y si estos anuncios publicitarios funcionan para personal de salud experto, podrían funcionar también para ciudadanos sin conocimiento específico, incrementando la probabilidad de </w:t>
      </w:r>
      <w:r w:rsidR="00720F64">
        <w:rPr>
          <w:rFonts w:ascii="Arial" w:hAnsi="Arial" w:cs="Arial"/>
        </w:rPr>
        <w:t>Automedicación</w:t>
      </w:r>
      <w:r w:rsidR="00C13F3E">
        <w:rPr>
          <w:rFonts w:ascii="Arial" w:hAnsi="Arial" w:cs="Arial"/>
        </w:rPr>
        <w:t>.</w:t>
      </w:r>
    </w:p>
    <w:p w:rsidR="003D4E84" w:rsidRPr="00B02EF8" w:rsidRDefault="003D4E84" w:rsidP="003D4E84">
      <w:pPr>
        <w:rPr>
          <w:rFonts w:ascii="Arial" w:hAnsi="Arial" w:cs="Arial"/>
          <w:sz w:val="24"/>
        </w:rPr>
      </w:pPr>
      <w:r>
        <w:rPr>
          <w:rFonts w:ascii="Arial" w:hAnsi="Arial" w:cs="Arial"/>
          <w:sz w:val="24"/>
        </w:rPr>
        <w:t>De</w:t>
      </w:r>
      <w:r w:rsidRPr="00B02EF8">
        <w:rPr>
          <w:rFonts w:ascii="Arial" w:hAnsi="Arial" w:cs="Arial"/>
          <w:sz w:val="24"/>
        </w:rPr>
        <w:t xml:space="preserve"> los honorables congresistas, </w:t>
      </w:r>
    </w:p>
    <w:p w:rsidR="003D4E84" w:rsidRDefault="003D4E84" w:rsidP="003D4E84">
      <w:pPr>
        <w:rPr>
          <w:rFonts w:ascii="Arial" w:hAnsi="Arial" w:cs="Arial"/>
          <w:sz w:val="24"/>
        </w:rPr>
      </w:pPr>
    </w:p>
    <w:p w:rsidR="009430F0" w:rsidRPr="009430F0" w:rsidRDefault="003D4E84" w:rsidP="003D4E84">
      <w:pPr>
        <w:rPr>
          <w:rFonts w:ascii="Arial" w:hAnsi="Arial" w:cs="Arial"/>
          <w:b/>
          <w:sz w:val="24"/>
          <w:szCs w:val="24"/>
        </w:rPr>
      </w:pPr>
      <w:r>
        <w:rPr>
          <w:rFonts w:ascii="Arial" w:hAnsi="Arial" w:cs="Arial"/>
          <w:sz w:val="24"/>
        </w:rPr>
        <w:br/>
      </w:r>
      <w:r w:rsidRPr="00B02EF8">
        <w:rPr>
          <w:rFonts w:ascii="Arial" w:hAnsi="Arial" w:cs="Arial"/>
          <w:b/>
          <w:sz w:val="24"/>
        </w:rPr>
        <w:t>GUSTAVO BOLÍVAR MORENO</w:t>
      </w:r>
      <w:r w:rsidRPr="00B02EF8">
        <w:rPr>
          <w:rFonts w:ascii="Arial" w:hAnsi="Arial" w:cs="Arial"/>
          <w:b/>
          <w:sz w:val="24"/>
        </w:rPr>
        <w:br/>
      </w:r>
      <w:r w:rsidRPr="00B02EF8">
        <w:rPr>
          <w:rFonts w:ascii="Arial" w:hAnsi="Arial" w:cs="Arial"/>
          <w:sz w:val="24"/>
        </w:rPr>
        <w:t>Senador de la República</w:t>
      </w:r>
      <w:r w:rsidRPr="00B02EF8">
        <w:rPr>
          <w:rFonts w:ascii="Arial" w:hAnsi="Arial" w:cs="Arial"/>
          <w:sz w:val="24"/>
        </w:rPr>
        <w:br/>
        <w:t>Coalición Decentes</w:t>
      </w:r>
    </w:p>
    <w:sectPr w:rsidR="009430F0" w:rsidRPr="009430F0" w:rsidSect="008B36D2">
      <w:headerReference w:type="default" r:id="rId16"/>
      <w:footerReference w:type="default" r:id="rId17"/>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82" w:rsidRDefault="00A61E82" w:rsidP="004873DE">
      <w:pPr>
        <w:spacing w:after="0" w:line="240" w:lineRule="auto"/>
      </w:pPr>
      <w:r>
        <w:separator/>
      </w:r>
    </w:p>
  </w:endnote>
  <w:endnote w:type="continuationSeparator" w:id="0">
    <w:p w:rsidR="00A61E82" w:rsidRDefault="00A61E82" w:rsidP="0048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bin">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D2" w:rsidRDefault="008B36D2" w:rsidP="008B36D2">
    <w:pPr>
      <w:pBdr>
        <w:top w:val="nil"/>
        <w:left w:val="nil"/>
        <w:bottom w:val="nil"/>
        <w:right w:val="nil"/>
        <w:between w:val="nil"/>
      </w:pBdr>
      <w:spacing w:after="0" w:line="240" w:lineRule="auto"/>
      <w:jc w:val="center"/>
      <w:rPr>
        <w:color w:val="000000"/>
      </w:rPr>
    </w:pPr>
    <w:r w:rsidRPr="00BB5319">
      <w:rPr>
        <w:noProof/>
        <w:color w:val="000000"/>
        <w:lang w:eastAsia="es-CO"/>
      </w:rPr>
      <w:drawing>
        <wp:inline distT="0" distB="0" distL="0" distR="0">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8B36D2" w:rsidRPr="008B36D2" w:rsidRDefault="008B36D2" w:rsidP="008B36D2">
    <w:pPr>
      <w:pBdr>
        <w:top w:val="nil"/>
        <w:left w:val="nil"/>
        <w:bottom w:val="nil"/>
        <w:right w:val="nil"/>
        <w:between w:val="nil"/>
      </w:pBdr>
      <w:spacing w:after="0" w:line="240" w:lineRule="auto"/>
      <w:jc w:val="center"/>
      <w:rPr>
        <w:color w:val="000000"/>
      </w:rPr>
    </w:pPr>
    <w:r>
      <w:rPr>
        <w:rFonts w:ascii="Cabin" w:eastAsia="Cabin" w:hAnsi="Cabin" w:cs="Cabin"/>
        <w:color w:val="000000"/>
      </w:rPr>
      <w:t>Bogotá, D.C.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82" w:rsidRDefault="00A61E82" w:rsidP="004873DE">
      <w:pPr>
        <w:spacing w:after="0" w:line="240" w:lineRule="auto"/>
      </w:pPr>
      <w:r>
        <w:separator/>
      </w:r>
    </w:p>
  </w:footnote>
  <w:footnote w:type="continuationSeparator" w:id="0">
    <w:p w:rsidR="00A61E82" w:rsidRDefault="00A61E82" w:rsidP="004873DE">
      <w:pPr>
        <w:spacing w:after="0" w:line="240" w:lineRule="auto"/>
      </w:pPr>
      <w:r>
        <w:continuationSeparator/>
      </w:r>
    </w:p>
  </w:footnote>
  <w:footnote w:id="1">
    <w:p w:rsidR="00305774" w:rsidRPr="00305774" w:rsidRDefault="00305774">
      <w:pPr>
        <w:pStyle w:val="Textonotapie"/>
        <w:rPr>
          <w:rFonts w:ascii="Arial" w:hAnsi="Arial" w:cs="Arial"/>
          <w:sz w:val="16"/>
          <w:szCs w:val="16"/>
          <w:lang w:val="es-ES"/>
        </w:rPr>
      </w:pPr>
      <w:r w:rsidRPr="00305774">
        <w:rPr>
          <w:rStyle w:val="Refdenotaalpie"/>
          <w:rFonts w:ascii="Arial" w:hAnsi="Arial" w:cs="Arial"/>
          <w:sz w:val="16"/>
          <w:szCs w:val="16"/>
        </w:rPr>
        <w:footnoteRef/>
      </w:r>
      <w:r w:rsidRPr="00305774">
        <w:rPr>
          <w:rFonts w:ascii="Arial" w:hAnsi="Arial" w:cs="Arial"/>
          <w:sz w:val="16"/>
          <w:szCs w:val="16"/>
        </w:rPr>
        <w:t xml:space="preserve"> </w:t>
      </w:r>
      <w:proofErr w:type="spellStart"/>
      <w:r w:rsidRPr="00305774">
        <w:rPr>
          <w:rFonts w:ascii="Arial" w:hAnsi="Arial" w:cs="Arial"/>
          <w:sz w:val="16"/>
          <w:szCs w:val="16"/>
        </w:rPr>
        <w:t>H.S.Angélica</w:t>
      </w:r>
      <w:proofErr w:type="spellEnd"/>
      <w:r w:rsidRPr="00305774">
        <w:rPr>
          <w:rFonts w:ascii="Arial" w:hAnsi="Arial" w:cs="Arial"/>
          <w:sz w:val="16"/>
          <w:szCs w:val="16"/>
        </w:rPr>
        <w:t xml:space="preserve"> Lisbeth Lozano </w:t>
      </w:r>
      <w:proofErr w:type="gramStart"/>
      <w:r w:rsidRPr="00305774">
        <w:rPr>
          <w:rFonts w:ascii="Arial" w:hAnsi="Arial" w:cs="Arial"/>
          <w:sz w:val="16"/>
          <w:szCs w:val="16"/>
        </w:rPr>
        <w:t>Correa ,</w:t>
      </w:r>
      <w:proofErr w:type="gramEnd"/>
      <w:r w:rsidRPr="00305774">
        <w:rPr>
          <w:rFonts w:ascii="Arial" w:hAnsi="Arial" w:cs="Arial"/>
          <w:sz w:val="16"/>
          <w:szCs w:val="16"/>
        </w:rPr>
        <w:t xml:space="preserve"> </w:t>
      </w:r>
      <w:proofErr w:type="spellStart"/>
      <w:r w:rsidRPr="00305774">
        <w:rPr>
          <w:rFonts w:ascii="Arial" w:hAnsi="Arial" w:cs="Arial"/>
          <w:sz w:val="16"/>
          <w:szCs w:val="16"/>
        </w:rPr>
        <w:t>H.S.Iván</w:t>
      </w:r>
      <w:proofErr w:type="spellEnd"/>
      <w:r w:rsidRPr="00305774">
        <w:rPr>
          <w:rFonts w:ascii="Arial" w:hAnsi="Arial" w:cs="Arial"/>
          <w:sz w:val="16"/>
          <w:szCs w:val="16"/>
        </w:rPr>
        <w:t xml:space="preserve"> Cepeda Castro , </w:t>
      </w:r>
      <w:proofErr w:type="spellStart"/>
      <w:r w:rsidRPr="00305774">
        <w:rPr>
          <w:rFonts w:ascii="Arial" w:hAnsi="Arial" w:cs="Arial"/>
          <w:sz w:val="16"/>
          <w:szCs w:val="16"/>
        </w:rPr>
        <w:t>H.S.Gustavo</w:t>
      </w:r>
      <w:proofErr w:type="spellEnd"/>
      <w:r w:rsidRPr="00305774">
        <w:rPr>
          <w:rFonts w:ascii="Arial" w:hAnsi="Arial" w:cs="Arial"/>
          <w:sz w:val="16"/>
          <w:szCs w:val="16"/>
        </w:rPr>
        <w:t xml:space="preserve"> Bolívar Moreno</w:t>
      </w:r>
      <w:r>
        <w:rPr>
          <w:rFonts w:ascii="Arial" w:hAnsi="Arial" w:cs="Arial"/>
          <w:sz w:val="16"/>
          <w:szCs w:val="16"/>
        </w:rPr>
        <w:t>, y otros.</w:t>
      </w:r>
    </w:p>
  </w:footnote>
  <w:footnote w:id="2">
    <w:p w:rsidR="008161CA" w:rsidRPr="00E10A72" w:rsidRDefault="008161CA" w:rsidP="008161CA">
      <w:pPr>
        <w:pStyle w:val="Textonotapie"/>
        <w:rPr>
          <w:rFonts w:ascii="Arial" w:hAnsi="Arial" w:cs="Arial"/>
          <w:sz w:val="16"/>
          <w:szCs w:val="16"/>
        </w:rPr>
      </w:pPr>
      <w:r w:rsidRPr="00E10A72">
        <w:rPr>
          <w:rStyle w:val="Refdenotaalpie"/>
          <w:rFonts w:ascii="Arial" w:hAnsi="Arial" w:cs="Arial"/>
          <w:sz w:val="16"/>
          <w:szCs w:val="16"/>
        </w:rPr>
        <w:footnoteRef/>
      </w:r>
      <w:r w:rsidRPr="00E10A72">
        <w:rPr>
          <w:rFonts w:ascii="Arial" w:hAnsi="Arial" w:cs="Arial"/>
          <w:sz w:val="16"/>
          <w:szCs w:val="16"/>
        </w:rPr>
        <w:t>www.minsalud.gov.co/Documentos%20y%20Publicaciones/Plan%20Decenal%20-%20Documento%20en%20consulta%20para%20aprobaci%C3%B3n.pdf</w:t>
      </w:r>
    </w:p>
  </w:footnote>
  <w:footnote w:id="3">
    <w:p w:rsidR="005B5A4A" w:rsidRPr="008B36D2" w:rsidRDefault="005B5A4A" w:rsidP="005B5A4A">
      <w:pPr>
        <w:pStyle w:val="Textonotapie"/>
        <w:rPr>
          <w:rFonts w:ascii="Arial" w:hAnsi="Arial" w:cs="Arial"/>
          <w:sz w:val="16"/>
          <w:szCs w:val="16"/>
          <w:lang w:val="es-ES"/>
        </w:rPr>
      </w:pPr>
      <w:r w:rsidRPr="008B36D2">
        <w:rPr>
          <w:rStyle w:val="Refdenotaalpie"/>
          <w:rFonts w:ascii="Arial" w:hAnsi="Arial" w:cs="Arial"/>
          <w:sz w:val="16"/>
          <w:szCs w:val="16"/>
        </w:rPr>
        <w:footnoteRef/>
      </w:r>
      <w:r w:rsidRPr="008B36D2">
        <w:rPr>
          <w:rFonts w:ascii="Arial" w:hAnsi="Arial" w:cs="Arial"/>
          <w:sz w:val="16"/>
          <w:szCs w:val="16"/>
        </w:rPr>
        <w:t xml:space="preserve"> </w:t>
      </w:r>
      <w:r>
        <w:rPr>
          <w:rFonts w:ascii="Arial" w:hAnsi="Arial" w:cs="Arial"/>
          <w:sz w:val="16"/>
          <w:szCs w:val="16"/>
        </w:rPr>
        <w:t>Ibidem.</w:t>
      </w:r>
    </w:p>
  </w:footnote>
  <w:footnote w:id="4">
    <w:p w:rsidR="005B5A4A" w:rsidRPr="003D11A6" w:rsidRDefault="005B5A4A" w:rsidP="005B5A4A">
      <w:pPr>
        <w:pStyle w:val="Textonotapie"/>
        <w:rPr>
          <w:rFonts w:ascii="Arial" w:hAnsi="Arial" w:cs="Arial"/>
          <w:sz w:val="16"/>
          <w:szCs w:val="16"/>
          <w:lang w:val="es-ES"/>
        </w:rPr>
      </w:pPr>
      <w:r w:rsidRPr="003D11A6">
        <w:rPr>
          <w:rStyle w:val="Refdenotaalpie"/>
          <w:rFonts w:ascii="Arial" w:hAnsi="Arial" w:cs="Arial"/>
          <w:sz w:val="16"/>
          <w:szCs w:val="16"/>
        </w:rPr>
        <w:footnoteRef/>
      </w:r>
      <w:r w:rsidRPr="003D11A6">
        <w:rPr>
          <w:rFonts w:ascii="Arial" w:hAnsi="Arial" w:cs="Arial"/>
          <w:sz w:val="16"/>
          <w:szCs w:val="16"/>
        </w:rPr>
        <w:t xml:space="preserve"> http://www.medicamentosaunclic.gov.co/contenidos/venta_libre.aspx</w:t>
      </w:r>
    </w:p>
  </w:footnote>
  <w:footnote w:id="5">
    <w:p w:rsidR="00075394" w:rsidRPr="00075394" w:rsidRDefault="00075394">
      <w:pPr>
        <w:pStyle w:val="Textonotapie"/>
        <w:rPr>
          <w:color w:val="000000" w:themeColor="text1"/>
          <w:lang w:val="es-ES"/>
        </w:rPr>
      </w:pPr>
      <w:r w:rsidRPr="00075394">
        <w:rPr>
          <w:rStyle w:val="Refdenotaalpie"/>
          <w:color w:val="000000" w:themeColor="text1"/>
        </w:rPr>
        <w:footnoteRef/>
      </w:r>
      <w:r w:rsidRPr="00075394">
        <w:rPr>
          <w:color w:val="000000" w:themeColor="text1"/>
        </w:rPr>
        <w:t xml:space="preserve"> </w:t>
      </w:r>
      <w:hyperlink r:id="rId1" w:history="1">
        <w:r w:rsidRPr="00075394">
          <w:rPr>
            <w:rStyle w:val="Hipervnculo"/>
            <w:color w:val="000000" w:themeColor="text1"/>
            <w:u w:val="none"/>
          </w:rPr>
          <w:t>http://www.todoesciencia.gov.co/farmaceuticas-1</w:t>
        </w:r>
      </w:hyperlink>
      <w:r w:rsidRPr="00075394">
        <w:rPr>
          <w:color w:val="000000" w:themeColor="text1"/>
        </w:rPr>
        <w:t>.</w:t>
      </w:r>
    </w:p>
  </w:footnote>
  <w:footnote w:id="6">
    <w:p w:rsidR="00EC1493" w:rsidRPr="004972EE" w:rsidRDefault="00EC1493" w:rsidP="00EC1493">
      <w:pPr>
        <w:pStyle w:val="Textonotapie"/>
        <w:rPr>
          <w:lang w:val="en-US"/>
        </w:rPr>
      </w:pPr>
      <w:r>
        <w:rPr>
          <w:rStyle w:val="Refdenotaalpie"/>
        </w:rPr>
        <w:footnoteRef/>
      </w:r>
      <w:r w:rsidRPr="004972EE">
        <w:rPr>
          <w:lang w:val="en-US"/>
        </w:rPr>
        <w:t xml:space="preserve"> Advertising. Jen Green, The Rosen Publishing Group, </w:t>
      </w:r>
      <w:proofErr w:type="spellStart"/>
      <w:proofErr w:type="gramStart"/>
      <w:r w:rsidRPr="004972EE">
        <w:rPr>
          <w:lang w:val="en-US"/>
        </w:rPr>
        <w:t>Inc</w:t>
      </w:r>
      <w:proofErr w:type="spellEnd"/>
      <w:r w:rsidRPr="004972EE">
        <w:rPr>
          <w:lang w:val="en-US"/>
        </w:rPr>
        <w:t xml:space="preserve"> ,</w:t>
      </w:r>
      <w:proofErr w:type="gramEnd"/>
      <w:r w:rsidRPr="004972EE">
        <w:rPr>
          <w:lang w:val="en-US"/>
        </w:rPr>
        <w:t xml:space="preserve"> 15/12/2011.</w:t>
      </w:r>
    </w:p>
  </w:footnote>
  <w:footnote w:id="7">
    <w:p w:rsidR="00B95BFE" w:rsidRPr="00B95BFE" w:rsidRDefault="00B95BFE">
      <w:pPr>
        <w:pStyle w:val="Textonotapie"/>
        <w:rPr>
          <w:lang w:val="es-ES"/>
        </w:rPr>
      </w:pPr>
      <w:r>
        <w:rPr>
          <w:rStyle w:val="Refdenotaalpie"/>
        </w:rPr>
        <w:footnoteRef/>
      </w:r>
      <w:r>
        <w:t xml:space="preserve"> </w:t>
      </w:r>
      <w:r w:rsidRPr="00B95BFE">
        <w:t>https://www.andacol.com/index.php/72-revista-anda/revista-anda-44/397-publicidad-de-medicamentos-responsabilidad-frente-a-la-salud-publica</w:t>
      </w:r>
    </w:p>
  </w:footnote>
  <w:footnote w:id="8">
    <w:p w:rsidR="00C13F3E" w:rsidRPr="008B36D2" w:rsidRDefault="00C13F3E" w:rsidP="00C13F3E">
      <w:pPr>
        <w:pStyle w:val="Bibliografa"/>
        <w:spacing w:line="240" w:lineRule="auto"/>
        <w:ind w:left="142" w:hanging="142"/>
        <w:rPr>
          <w:rFonts w:ascii="Arial" w:hAnsi="Arial" w:cs="Arial"/>
          <w:noProof/>
          <w:sz w:val="16"/>
          <w:szCs w:val="16"/>
        </w:rPr>
      </w:pPr>
      <w:r w:rsidRPr="008B36D2">
        <w:rPr>
          <w:rStyle w:val="Refdenotaalpie"/>
          <w:rFonts w:ascii="Arial" w:hAnsi="Arial" w:cs="Arial"/>
          <w:sz w:val="16"/>
          <w:szCs w:val="16"/>
        </w:rPr>
        <w:footnoteRef/>
      </w:r>
      <w:r w:rsidRPr="008B36D2">
        <w:rPr>
          <w:rFonts w:ascii="Arial" w:hAnsi="Arial" w:cs="Arial"/>
          <w:sz w:val="16"/>
          <w:szCs w:val="16"/>
        </w:rPr>
        <w:t xml:space="preserve"> </w:t>
      </w:r>
      <w:r w:rsidRPr="008B36D2">
        <w:rPr>
          <w:rFonts w:ascii="Arial" w:hAnsi="Arial" w:cs="Arial"/>
          <w:noProof/>
          <w:sz w:val="16"/>
          <w:szCs w:val="16"/>
        </w:rPr>
        <w:t xml:space="preserve">Puerta, D. R. (2006). La automedicación responsable, la publicidad farmacéutica y su marco en la Atención Primaria. </w:t>
      </w:r>
      <w:r w:rsidRPr="008B36D2">
        <w:rPr>
          <w:rFonts w:ascii="Arial" w:hAnsi="Arial" w:cs="Arial"/>
          <w:i/>
          <w:iCs/>
          <w:noProof/>
          <w:sz w:val="16"/>
          <w:szCs w:val="16"/>
        </w:rPr>
        <w:t>Medicina de Familia. SEMERGEN</w:t>
      </w:r>
      <w:r w:rsidRPr="008B36D2">
        <w:rPr>
          <w:rFonts w:ascii="Arial" w:hAnsi="Arial" w:cs="Arial"/>
          <w:noProof/>
          <w:sz w:val="16"/>
          <w:szCs w:val="16"/>
        </w:rPr>
        <w:t>, 107-154.</w:t>
      </w:r>
    </w:p>
  </w:footnote>
  <w:footnote w:id="9">
    <w:p w:rsidR="00EC1493" w:rsidRPr="008B36D2" w:rsidRDefault="00EC1493" w:rsidP="00EC1493">
      <w:pPr>
        <w:pStyle w:val="Textonotapie"/>
        <w:rPr>
          <w:rFonts w:ascii="Arial" w:hAnsi="Arial" w:cs="Arial"/>
          <w:sz w:val="16"/>
          <w:szCs w:val="16"/>
          <w:lang w:val="es-ES"/>
        </w:rPr>
      </w:pPr>
      <w:r w:rsidRPr="008B36D2">
        <w:rPr>
          <w:rStyle w:val="Refdenotaalpie"/>
          <w:rFonts w:ascii="Arial" w:hAnsi="Arial" w:cs="Arial"/>
          <w:sz w:val="16"/>
          <w:szCs w:val="16"/>
        </w:rPr>
        <w:footnoteRef/>
      </w:r>
      <w:r w:rsidRPr="008B36D2">
        <w:rPr>
          <w:rFonts w:ascii="Arial" w:hAnsi="Arial" w:cs="Arial"/>
          <w:sz w:val="16"/>
          <w:szCs w:val="16"/>
        </w:rPr>
        <w:t xml:space="preserve"> https://www.alainet.org/es/articulo/180715</w:t>
      </w:r>
    </w:p>
  </w:footnote>
  <w:footnote w:id="10">
    <w:p w:rsidR="00C13F3E" w:rsidRPr="008B36D2" w:rsidRDefault="00C13F3E" w:rsidP="00C13F3E">
      <w:pPr>
        <w:pStyle w:val="Textonotapie"/>
        <w:rPr>
          <w:rFonts w:ascii="Arial" w:hAnsi="Arial" w:cs="Arial"/>
          <w:sz w:val="16"/>
          <w:szCs w:val="16"/>
          <w:lang w:val="es-ES"/>
        </w:rPr>
      </w:pPr>
      <w:r w:rsidRPr="008B36D2">
        <w:rPr>
          <w:rStyle w:val="Refdenotaalpie"/>
          <w:rFonts w:ascii="Arial" w:hAnsi="Arial" w:cs="Arial"/>
          <w:sz w:val="16"/>
          <w:szCs w:val="16"/>
        </w:rPr>
        <w:footnoteRef/>
      </w:r>
      <w:r w:rsidRPr="008B36D2">
        <w:rPr>
          <w:rFonts w:ascii="Arial" w:hAnsi="Arial" w:cs="Arial"/>
          <w:sz w:val="16"/>
          <w:szCs w:val="16"/>
        </w:rPr>
        <w:t xml:space="preserve"> https://www.minsalud.gov.co/sites/rid/Lists/BibliotecaDigital/RIDE/DE/DIJ/proyecto-resolucion-trasparencia.pdf</w:t>
      </w:r>
    </w:p>
  </w:footnote>
  <w:footnote w:id="11">
    <w:p w:rsidR="00F157EF" w:rsidRPr="00F157EF" w:rsidRDefault="00F157EF">
      <w:pPr>
        <w:pStyle w:val="Textonotapie"/>
        <w:rPr>
          <w:lang w:val="es-ES"/>
        </w:rPr>
      </w:pPr>
      <w:r>
        <w:rPr>
          <w:rStyle w:val="Refdenotaalpie"/>
        </w:rPr>
        <w:footnoteRef/>
      </w:r>
      <w:r>
        <w:t xml:space="preserve"> </w:t>
      </w:r>
      <w:r w:rsidRPr="00F157EF">
        <w:t>http://www.evidencia.org.ar/files/0aabef9c6504180b3e8bd39807a23a86.pdf</w:t>
      </w:r>
    </w:p>
  </w:footnote>
  <w:footnote w:id="12">
    <w:p w:rsidR="00C13F3E" w:rsidRPr="0017097A" w:rsidRDefault="00C13F3E" w:rsidP="00C13F3E">
      <w:pPr>
        <w:pStyle w:val="Textonotapie"/>
        <w:rPr>
          <w:rFonts w:ascii="Arial" w:hAnsi="Arial" w:cs="Arial"/>
          <w:sz w:val="16"/>
          <w:szCs w:val="16"/>
          <w:lang w:val="es-ES"/>
        </w:rPr>
      </w:pPr>
      <w:r w:rsidRPr="0017097A">
        <w:rPr>
          <w:rStyle w:val="Refdenotaalpie"/>
          <w:rFonts w:ascii="Arial" w:hAnsi="Arial" w:cs="Arial"/>
          <w:sz w:val="16"/>
          <w:szCs w:val="16"/>
        </w:rPr>
        <w:footnoteRef/>
      </w:r>
      <w:r w:rsidRPr="0017097A">
        <w:rPr>
          <w:rFonts w:ascii="Arial" w:hAnsi="Arial" w:cs="Arial"/>
          <w:sz w:val="16"/>
          <w:szCs w:val="16"/>
        </w:rPr>
        <w:t xml:space="preserve"> </w:t>
      </w:r>
      <w:hyperlink r:id="rId2" w:history="1">
        <w:r w:rsidRPr="0017097A">
          <w:rPr>
            <w:rStyle w:val="Hipervnculo"/>
            <w:rFonts w:ascii="Arial" w:hAnsi="Arial" w:cs="Arial"/>
            <w:color w:val="auto"/>
            <w:sz w:val="16"/>
            <w:szCs w:val="16"/>
            <w:u w:val="none"/>
          </w:rPr>
          <w:t>https://www.agenciacyta.org.ar/2008/08/la-publicidad-potencia-la-automedicacion/</w:t>
        </w:r>
      </w:hyperlink>
      <w:r w:rsidRPr="0017097A">
        <w:rPr>
          <w:rFonts w:ascii="Arial" w:hAnsi="Arial" w:cs="Arial"/>
          <w:sz w:val="16"/>
          <w:szCs w:val="16"/>
        </w:rPr>
        <w:t xml:space="preserve"> </w:t>
      </w:r>
    </w:p>
  </w:footnote>
  <w:footnote w:id="13">
    <w:p w:rsidR="004E15E0" w:rsidRPr="004E15E0" w:rsidRDefault="004E15E0">
      <w:pPr>
        <w:pStyle w:val="Textonotapie"/>
        <w:rPr>
          <w:sz w:val="16"/>
          <w:szCs w:val="16"/>
          <w:lang w:val="es-ES"/>
        </w:rPr>
      </w:pPr>
      <w:r w:rsidRPr="004E15E0">
        <w:rPr>
          <w:rStyle w:val="Refdenotaalpie"/>
          <w:sz w:val="16"/>
          <w:szCs w:val="16"/>
        </w:rPr>
        <w:footnoteRef/>
      </w:r>
      <w:r w:rsidRPr="004E15E0">
        <w:rPr>
          <w:sz w:val="16"/>
          <w:szCs w:val="16"/>
        </w:rPr>
        <w:t xml:space="preserve"> </w:t>
      </w:r>
      <w:r w:rsidRPr="004E15E0">
        <w:rPr>
          <w:rFonts w:ascii="Arial" w:hAnsi="Arial" w:cs="Arial"/>
          <w:sz w:val="16"/>
          <w:szCs w:val="16"/>
        </w:rPr>
        <w:t>Farmacología general. Una guía de estudio</w:t>
      </w:r>
      <w:r w:rsidRPr="004E15E0">
        <w:rPr>
          <w:sz w:val="16"/>
          <w:szCs w:val="16"/>
        </w:rPr>
        <w:t>. McGraw Hill; Edición: 1 (2013)</w:t>
      </w:r>
      <w:r>
        <w:rPr>
          <w:sz w:val="16"/>
          <w:szCs w:val="16"/>
        </w:rPr>
        <w:t>.</w:t>
      </w:r>
    </w:p>
  </w:footnote>
  <w:footnote w:id="14">
    <w:p w:rsidR="004F5A47" w:rsidRPr="0017097A" w:rsidRDefault="004F5A47" w:rsidP="004F5A47">
      <w:pPr>
        <w:pStyle w:val="Textonotapie"/>
        <w:rPr>
          <w:rFonts w:ascii="Arial" w:hAnsi="Arial" w:cs="Arial"/>
          <w:sz w:val="16"/>
          <w:szCs w:val="16"/>
          <w:lang w:val="es-ES"/>
        </w:rPr>
      </w:pPr>
      <w:r w:rsidRPr="0017097A">
        <w:rPr>
          <w:rStyle w:val="Refdenotaalpie"/>
          <w:rFonts w:ascii="Arial" w:hAnsi="Arial" w:cs="Arial"/>
          <w:sz w:val="16"/>
          <w:szCs w:val="16"/>
        </w:rPr>
        <w:footnoteRef/>
      </w:r>
      <w:r w:rsidRPr="0017097A">
        <w:rPr>
          <w:rFonts w:ascii="Arial" w:hAnsi="Arial" w:cs="Arial"/>
          <w:sz w:val="16"/>
          <w:szCs w:val="16"/>
        </w:rPr>
        <w:t xml:space="preserve"> Observatorio del Comportamiento de Automedicación. (4 de 6 de 2019). OCAM. Obtenido de https://www.urosario.edu.co/Observatorio-del-Comportamiento-de-Automedicacion/Inicio/</w:t>
      </w:r>
    </w:p>
  </w:footnote>
  <w:footnote w:id="15">
    <w:p w:rsidR="004F5A47" w:rsidRPr="0017097A" w:rsidRDefault="004F5A47" w:rsidP="004F5A47">
      <w:pPr>
        <w:pStyle w:val="Textonotapie"/>
        <w:rPr>
          <w:rFonts w:ascii="Arial" w:hAnsi="Arial" w:cs="Arial"/>
          <w:sz w:val="16"/>
          <w:szCs w:val="16"/>
          <w:lang w:val="es-ES"/>
        </w:rPr>
      </w:pPr>
      <w:r w:rsidRPr="0017097A">
        <w:rPr>
          <w:rStyle w:val="Refdenotaalpie"/>
          <w:rFonts w:ascii="Arial" w:hAnsi="Arial" w:cs="Arial"/>
          <w:sz w:val="16"/>
          <w:szCs w:val="16"/>
        </w:rPr>
        <w:footnoteRef/>
      </w:r>
      <w:r w:rsidRPr="0017097A">
        <w:rPr>
          <w:rFonts w:ascii="Arial" w:hAnsi="Arial" w:cs="Arial"/>
          <w:sz w:val="16"/>
          <w:szCs w:val="16"/>
        </w:rPr>
        <w:t xml:space="preserve"> Pérez, A. M. (11 de 12 de 2015). Nova Et </w:t>
      </w:r>
      <w:proofErr w:type="spellStart"/>
      <w:r w:rsidRPr="0017097A">
        <w:rPr>
          <w:rFonts w:ascii="Arial" w:hAnsi="Arial" w:cs="Arial"/>
          <w:sz w:val="16"/>
          <w:szCs w:val="16"/>
        </w:rPr>
        <w:t>Vetera</w:t>
      </w:r>
      <w:proofErr w:type="spellEnd"/>
      <w:r w:rsidRPr="0017097A">
        <w:rPr>
          <w:rFonts w:ascii="Arial" w:hAnsi="Arial" w:cs="Arial"/>
          <w:sz w:val="16"/>
          <w:szCs w:val="16"/>
        </w:rPr>
        <w:t>. Obtenido de https://www.urosario.edu.co/revista-nova-et-vetera/Inicio/Omnia/Las-formas-contemporaneas-de-la-automedicacion-irr/</w:t>
      </w:r>
    </w:p>
  </w:footnote>
  <w:footnote w:id="16">
    <w:p w:rsidR="004F5A47" w:rsidRPr="0017097A" w:rsidRDefault="004F5A47" w:rsidP="004F5A47">
      <w:pPr>
        <w:pStyle w:val="Textonotapie"/>
        <w:rPr>
          <w:rFonts w:ascii="Arial" w:hAnsi="Arial" w:cs="Arial"/>
          <w:sz w:val="16"/>
          <w:szCs w:val="16"/>
          <w:lang w:val="es-ES"/>
        </w:rPr>
      </w:pPr>
      <w:r w:rsidRPr="0017097A">
        <w:rPr>
          <w:rStyle w:val="Refdenotaalpie"/>
          <w:rFonts w:ascii="Arial" w:hAnsi="Arial" w:cs="Arial"/>
          <w:sz w:val="16"/>
          <w:szCs w:val="16"/>
        </w:rPr>
        <w:footnoteRef/>
      </w:r>
      <w:r w:rsidRPr="0017097A">
        <w:rPr>
          <w:rFonts w:ascii="Arial" w:hAnsi="Arial" w:cs="Arial"/>
          <w:sz w:val="16"/>
          <w:szCs w:val="16"/>
        </w:rPr>
        <w:t xml:space="preserve"> Ángela Ruiz, M., &amp; Andrés Pérez, P. (2011). Automedicación y términos relacionados: una reflexión conceptual. Revista Ciencias de la Salud, 83-97.</w:t>
      </w:r>
    </w:p>
  </w:footnote>
  <w:footnote w:id="17">
    <w:p w:rsidR="004F5A47" w:rsidRPr="004F5A47" w:rsidRDefault="004F5A47">
      <w:pPr>
        <w:pStyle w:val="Textonotapie"/>
        <w:rPr>
          <w:rFonts w:ascii="Arial" w:hAnsi="Arial" w:cs="Arial"/>
          <w:sz w:val="16"/>
          <w:szCs w:val="16"/>
          <w:lang w:val="es-ES"/>
        </w:rPr>
      </w:pPr>
      <w:r w:rsidRPr="004F5A47">
        <w:rPr>
          <w:rStyle w:val="Refdenotaalpie"/>
          <w:rFonts w:ascii="Arial" w:hAnsi="Arial" w:cs="Arial"/>
          <w:sz w:val="16"/>
          <w:szCs w:val="16"/>
        </w:rPr>
        <w:footnoteRef/>
      </w:r>
      <w:r w:rsidRPr="004F5A47">
        <w:rPr>
          <w:rFonts w:ascii="Arial" w:hAnsi="Arial" w:cs="Arial"/>
          <w:sz w:val="16"/>
          <w:szCs w:val="16"/>
        </w:rPr>
        <w:t xml:space="preserve"> https://www.ins.gov.co/buscador-eventos/Informesdeevento/INTOXICACIONES%202017.pdf</w:t>
      </w:r>
    </w:p>
  </w:footnote>
  <w:footnote w:id="18">
    <w:p w:rsidR="00F76F1B" w:rsidRPr="00F76F1B" w:rsidRDefault="00F76F1B">
      <w:pPr>
        <w:pStyle w:val="Textonotapie"/>
        <w:rPr>
          <w:lang w:val="es-ES"/>
        </w:rPr>
      </w:pPr>
      <w:r>
        <w:rPr>
          <w:rStyle w:val="Refdenotaalpie"/>
        </w:rPr>
        <w:footnoteRef/>
      </w:r>
      <w:r>
        <w:t xml:space="preserve"> </w:t>
      </w:r>
      <w:r>
        <w:rPr>
          <w:lang w:val="es-ES"/>
        </w:rPr>
        <w:t>Ibidem.</w:t>
      </w:r>
    </w:p>
  </w:footnote>
  <w:footnote w:id="19">
    <w:p w:rsidR="00B36C65" w:rsidRPr="00B36C65" w:rsidRDefault="00B36C65">
      <w:pPr>
        <w:pStyle w:val="Textonotapie"/>
        <w:rPr>
          <w:rFonts w:ascii="Arial" w:hAnsi="Arial" w:cs="Arial"/>
          <w:sz w:val="16"/>
          <w:szCs w:val="16"/>
          <w:lang w:val="es-ES"/>
        </w:rPr>
      </w:pPr>
      <w:r w:rsidRPr="00B36C65">
        <w:rPr>
          <w:rStyle w:val="Refdenotaalpie"/>
          <w:rFonts w:ascii="Arial" w:hAnsi="Arial" w:cs="Arial"/>
          <w:sz w:val="16"/>
          <w:szCs w:val="16"/>
        </w:rPr>
        <w:footnoteRef/>
      </w:r>
      <w:r w:rsidRPr="00B36C65">
        <w:rPr>
          <w:rFonts w:ascii="Arial" w:hAnsi="Arial" w:cs="Arial"/>
          <w:sz w:val="16"/>
          <w:szCs w:val="16"/>
        </w:rPr>
        <w:t xml:space="preserve"> https://noticias.universia.net.co/educacion/noticia/2017/05/23/1152668/mal-uso-medicamentos-sexta-causa-muerte-colombia.html</w:t>
      </w:r>
    </w:p>
  </w:footnote>
  <w:footnote w:id="20">
    <w:p w:rsidR="004F5A47" w:rsidRPr="0017097A" w:rsidRDefault="004F5A47" w:rsidP="004F5A47">
      <w:pPr>
        <w:pStyle w:val="Textonotapie"/>
        <w:rPr>
          <w:rStyle w:val="nfasissutil"/>
          <w:rFonts w:ascii="Arial" w:hAnsi="Arial" w:cs="Arial"/>
          <w:i w:val="0"/>
          <w:color w:val="auto"/>
          <w:sz w:val="16"/>
          <w:szCs w:val="16"/>
          <w:lang w:val="es-ES"/>
        </w:rPr>
      </w:pPr>
      <w:r w:rsidRPr="0017097A">
        <w:rPr>
          <w:rStyle w:val="nfasissutil"/>
          <w:rFonts w:ascii="Arial" w:hAnsi="Arial" w:cs="Arial"/>
          <w:i w:val="0"/>
          <w:color w:val="auto"/>
          <w:sz w:val="16"/>
          <w:szCs w:val="16"/>
        </w:rPr>
        <w:footnoteRef/>
      </w:r>
      <w:r w:rsidRPr="0017097A">
        <w:rPr>
          <w:rStyle w:val="nfasissutil"/>
          <w:rFonts w:ascii="Arial" w:hAnsi="Arial" w:cs="Arial"/>
          <w:i w:val="0"/>
          <w:color w:val="auto"/>
          <w:sz w:val="16"/>
          <w:szCs w:val="16"/>
        </w:rPr>
        <w:t xml:space="preserve"> Calderón-Ospina, C. A. (2016). Automedicación en estudiantes de medicina de la Universidad del Rosario en Bogotá D. C., Colombia. Revista Colombiana de Ciencias Químico-</w:t>
      </w:r>
      <w:proofErr w:type="gramStart"/>
      <w:r w:rsidRPr="0017097A">
        <w:rPr>
          <w:rStyle w:val="nfasissutil"/>
          <w:rFonts w:ascii="Arial" w:hAnsi="Arial" w:cs="Arial"/>
          <w:i w:val="0"/>
          <w:color w:val="auto"/>
          <w:sz w:val="16"/>
          <w:szCs w:val="16"/>
        </w:rPr>
        <w:t>Farmacéuticas ,</w:t>
      </w:r>
      <w:proofErr w:type="gramEnd"/>
      <w:r w:rsidRPr="0017097A">
        <w:rPr>
          <w:rStyle w:val="nfasissutil"/>
          <w:rFonts w:ascii="Arial" w:hAnsi="Arial" w:cs="Arial"/>
          <w:i w:val="0"/>
          <w:color w:val="auto"/>
          <w:sz w:val="16"/>
          <w:szCs w:val="16"/>
        </w:rPr>
        <w:t xml:space="preserve"> 374-384.</w:t>
      </w:r>
    </w:p>
  </w:footnote>
  <w:footnote w:id="21">
    <w:p w:rsidR="004F5A47" w:rsidRPr="0017097A" w:rsidRDefault="004F5A47" w:rsidP="004F5A47">
      <w:pPr>
        <w:pStyle w:val="Textonotapie"/>
        <w:rPr>
          <w:rStyle w:val="nfasissutil"/>
          <w:rFonts w:ascii="Arial" w:hAnsi="Arial" w:cs="Arial"/>
          <w:i w:val="0"/>
          <w:color w:val="auto"/>
          <w:sz w:val="16"/>
          <w:szCs w:val="16"/>
          <w:lang w:val="es-ES"/>
        </w:rPr>
      </w:pPr>
      <w:r w:rsidRPr="0017097A">
        <w:rPr>
          <w:rStyle w:val="nfasissutil"/>
          <w:rFonts w:ascii="Arial" w:hAnsi="Arial" w:cs="Arial"/>
          <w:i w:val="0"/>
          <w:color w:val="auto"/>
          <w:sz w:val="16"/>
          <w:szCs w:val="16"/>
        </w:rPr>
        <w:footnoteRef/>
      </w:r>
      <w:r w:rsidRPr="0017097A">
        <w:rPr>
          <w:rStyle w:val="nfasissutil"/>
          <w:rFonts w:ascii="Arial" w:hAnsi="Arial" w:cs="Arial"/>
          <w:i w:val="0"/>
          <w:color w:val="auto"/>
          <w:sz w:val="16"/>
          <w:szCs w:val="16"/>
        </w:rPr>
        <w:t xml:space="preserve"> Bravo, K. J., Martínez, D. E., Arias, P. A., &amp; Duarte, J. A. (2017). www.udca.edu.co. Obtenido de https://repository.udca.edu.co/bitstream/11158/830/1/28-10-2017%20AUTOMEDICACION%20final.pdf</w:t>
      </w:r>
    </w:p>
  </w:footnote>
  <w:footnote w:id="22">
    <w:p w:rsidR="004F5A47" w:rsidRPr="0017097A" w:rsidRDefault="004F5A47" w:rsidP="004F5A47">
      <w:pPr>
        <w:pStyle w:val="Textonotapie"/>
        <w:rPr>
          <w:rStyle w:val="nfasissutil"/>
          <w:rFonts w:ascii="Arial" w:hAnsi="Arial" w:cs="Arial"/>
          <w:i w:val="0"/>
          <w:color w:val="auto"/>
          <w:sz w:val="16"/>
          <w:szCs w:val="16"/>
          <w:lang w:val="es-ES"/>
        </w:rPr>
      </w:pPr>
      <w:r w:rsidRPr="0017097A">
        <w:rPr>
          <w:rStyle w:val="nfasissutil"/>
          <w:rFonts w:ascii="Arial" w:hAnsi="Arial" w:cs="Arial"/>
          <w:i w:val="0"/>
          <w:color w:val="auto"/>
          <w:sz w:val="16"/>
          <w:szCs w:val="16"/>
        </w:rPr>
        <w:footnoteRef/>
      </w:r>
      <w:r w:rsidRPr="0017097A">
        <w:rPr>
          <w:rStyle w:val="nfasissutil"/>
          <w:rFonts w:ascii="Arial" w:hAnsi="Arial" w:cs="Arial"/>
          <w:i w:val="0"/>
          <w:color w:val="auto"/>
          <w:sz w:val="16"/>
          <w:szCs w:val="16"/>
        </w:rPr>
        <w:t xml:space="preserve"> Murillo, A. A., Mejía, L. M., Samper, M. M., Ortiz, D. N., Restrepo, G. E., &amp; Álvarez, D. P. (7 de 12 de 2009). www.unad.edu.co. Obtenido de https://repository.unad.edu.co/bitstream/10596/1701/1/2009-09T-05.pdf</w:t>
      </w:r>
    </w:p>
  </w:footnote>
  <w:footnote w:id="23">
    <w:p w:rsidR="004F5A47" w:rsidRPr="00586534" w:rsidRDefault="004F5A47" w:rsidP="004F5A47">
      <w:pPr>
        <w:pStyle w:val="Textonotapie"/>
        <w:rPr>
          <w:rFonts w:ascii="Arial" w:hAnsi="Arial" w:cs="Arial"/>
          <w:sz w:val="16"/>
          <w:szCs w:val="16"/>
          <w:lang w:val="es-ES"/>
        </w:rPr>
      </w:pPr>
      <w:r w:rsidRPr="00586534">
        <w:rPr>
          <w:rStyle w:val="Refdenotaalpie"/>
          <w:rFonts w:ascii="Arial" w:hAnsi="Arial" w:cs="Arial"/>
          <w:sz w:val="16"/>
          <w:szCs w:val="16"/>
        </w:rPr>
        <w:footnoteRef/>
      </w:r>
      <w:r w:rsidRPr="00586534">
        <w:rPr>
          <w:rFonts w:ascii="Arial" w:hAnsi="Arial" w:cs="Arial"/>
          <w:sz w:val="16"/>
          <w:szCs w:val="16"/>
        </w:rPr>
        <w:t xml:space="preserve"> Larissa, G., L., M. D., </w:t>
      </w:r>
      <w:proofErr w:type="spellStart"/>
      <w:r w:rsidRPr="00586534">
        <w:rPr>
          <w:rFonts w:ascii="Arial" w:hAnsi="Arial" w:cs="Arial"/>
          <w:sz w:val="16"/>
          <w:szCs w:val="16"/>
        </w:rPr>
        <w:t>Haaijer-Ruskamp</w:t>
      </w:r>
      <w:proofErr w:type="spellEnd"/>
      <w:r w:rsidRPr="00586534">
        <w:rPr>
          <w:rFonts w:ascii="Arial" w:hAnsi="Arial" w:cs="Arial"/>
          <w:sz w:val="16"/>
          <w:szCs w:val="16"/>
        </w:rPr>
        <w:t xml:space="preserve">, F. M., </w:t>
      </w:r>
      <w:proofErr w:type="spellStart"/>
      <w:r w:rsidRPr="00586534">
        <w:rPr>
          <w:rFonts w:ascii="Arial" w:hAnsi="Arial" w:cs="Arial"/>
          <w:sz w:val="16"/>
          <w:szCs w:val="16"/>
        </w:rPr>
        <w:t>Bonten</w:t>
      </w:r>
      <w:proofErr w:type="spellEnd"/>
      <w:r w:rsidRPr="00586534">
        <w:rPr>
          <w:rFonts w:ascii="Arial" w:hAnsi="Arial" w:cs="Arial"/>
          <w:sz w:val="16"/>
          <w:szCs w:val="16"/>
        </w:rPr>
        <w:t xml:space="preserve">, M. J., </w:t>
      </w:r>
      <w:proofErr w:type="spellStart"/>
      <w:r w:rsidRPr="00586534">
        <w:rPr>
          <w:rFonts w:ascii="Arial" w:hAnsi="Arial" w:cs="Arial"/>
          <w:sz w:val="16"/>
          <w:szCs w:val="16"/>
        </w:rPr>
        <w:t>Lundborg</w:t>
      </w:r>
      <w:proofErr w:type="spellEnd"/>
      <w:r w:rsidRPr="00586534">
        <w:rPr>
          <w:rFonts w:ascii="Arial" w:hAnsi="Arial" w:cs="Arial"/>
          <w:sz w:val="16"/>
          <w:szCs w:val="16"/>
        </w:rPr>
        <w:t xml:space="preserve">, S., &amp; </w:t>
      </w:r>
      <w:proofErr w:type="spellStart"/>
      <w:r w:rsidRPr="00586534">
        <w:rPr>
          <w:rFonts w:ascii="Arial" w:hAnsi="Arial" w:cs="Arial"/>
          <w:sz w:val="16"/>
          <w:szCs w:val="16"/>
        </w:rPr>
        <w:t>Verheij</w:t>
      </w:r>
      <w:proofErr w:type="spellEnd"/>
      <w:r w:rsidRPr="00586534">
        <w:rPr>
          <w:rFonts w:ascii="Arial" w:hAnsi="Arial" w:cs="Arial"/>
          <w:sz w:val="16"/>
          <w:szCs w:val="16"/>
        </w:rPr>
        <w:t xml:space="preserve">, T. J. (2010). </w:t>
      </w:r>
      <w:proofErr w:type="spellStart"/>
      <w:r w:rsidRPr="00586534">
        <w:rPr>
          <w:rFonts w:ascii="Arial" w:hAnsi="Arial" w:cs="Arial"/>
          <w:sz w:val="16"/>
          <w:szCs w:val="16"/>
        </w:rPr>
        <w:t>Self-Medication</w:t>
      </w:r>
      <w:proofErr w:type="spellEnd"/>
      <w:r w:rsidRPr="00586534">
        <w:rPr>
          <w:rFonts w:ascii="Arial" w:hAnsi="Arial" w:cs="Arial"/>
          <w:sz w:val="16"/>
          <w:szCs w:val="16"/>
        </w:rPr>
        <w:t xml:space="preserve"> </w:t>
      </w:r>
      <w:proofErr w:type="spellStart"/>
      <w:r w:rsidRPr="00586534">
        <w:rPr>
          <w:rFonts w:ascii="Arial" w:hAnsi="Arial" w:cs="Arial"/>
          <w:sz w:val="16"/>
          <w:szCs w:val="16"/>
        </w:rPr>
        <w:t>with</w:t>
      </w:r>
      <w:proofErr w:type="spellEnd"/>
      <w:r w:rsidRPr="00586534">
        <w:rPr>
          <w:rFonts w:ascii="Arial" w:hAnsi="Arial" w:cs="Arial"/>
          <w:sz w:val="16"/>
          <w:szCs w:val="16"/>
        </w:rPr>
        <w:t xml:space="preserve"> </w:t>
      </w:r>
      <w:proofErr w:type="spellStart"/>
      <w:r w:rsidRPr="00586534">
        <w:rPr>
          <w:rFonts w:ascii="Arial" w:hAnsi="Arial" w:cs="Arial"/>
          <w:sz w:val="16"/>
          <w:szCs w:val="16"/>
        </w:rPr>
        <w:t>Antibiotics</w:t>
      </w:r>
      <w:proofErr w:type="spellEnd"/>
      <w:r w:rsidRPr="00586534">
        <w:rPr>
          <w:rFonts w:ascii="Arial" w:hAnsi="Arial" w:cs="Arial"/>
          <w:sz w:val="16"/>
          <w:szCs w:val="16"/>
        </w:rPr>
        <w:t xml:space="preserve"> in </w:t>
      </w:r>
      <w:proofErr w:type="spellStart"/>
      <w:r w:rsidRPr="00586534">
        <w:rPr>
          <w:rFonts w:ascii="Arial" w:hAnsi="Arial" w:cs="Arial"/>
          <w:sz w:val="16"/>
          <w:szCs w:val="16"/>
        </w:rPr>
        <w:t>Europe</w:t>
      </w:r>
      <w:proofErr w:type="spellEnd"/>
      <w:r w:rsidRPr="00586534">
        <w:rPr>
          <w:rFonts w:ascii="Arial" w:hAnsi="Arial" w:cs="Arial"/>
          <w:sz w:val="16"/>
          <w:szCs w:val="16"/>
        </w:rPr>
        <w:t xml:space="preserve">: A Case </w:t>
      </w:r>
      <w:proofErr w:type="spellStart"/>
      <w:r w:rsidRPr="00586534">
        <w:rPr>
          <w:rFonts w:ascii="Arial" w:hAnsi="Arial" w:cs="Arial"/>
          <w:sz w:val="16"/>
          <w:szCs w:val="16"/>
        </w:rPr>
        <w:t>for</w:t>
      </w:r>
      <w:proofErr w:type="spellEnd"/>
      <w:r w:rsidRPr="00586534">
        <w:rPr>
          <w:rFonts w:ascii="Arial" w:hAnsi="Arial" w:cs="Arial"/>
          <w:sz w:val="16"/>
          <w:szCs w:val="16"/>
        </w:rPr>
        <w:t xml:space="preserve"> </w:t>
      </w:r>
      <w:proofErr w:type="spellStart"/>
      <w:r w:rsidRPr="00586534">
        <w:rPr>
          <w:rFonts w:ascii="Arial" w:hAnsi="Arial" w:cs="Arial"/>
          <w:sz w:val="16"/>
          <w:szCs w:val="16"/>
        </w:rPr>
        <w:t>Action</w:t>
      </w:r>
      <w:proofErr w:type="spellEnd"/>
      <w:r w:rsidRPr="00586534">
        <w:rPr>
          <w:rFonts w:ascii="Arial" w:hAnsi="Arial" w:cs="Arial"/>
          <w:sz w:val="16"/>
          <w:szCs w:val="16"/>
        </w:rPr>
        <w:t xml:space="preserve">. </w:t>
      </w:r>
      <w:proofErr w:type="spellStart"/>
      <w:r w:rsidRPr="00586534">
        <w:rPr>
          <w:rFonts w:ascii="Arial" w:hAnsi="Arial" w:cs="Arial"/>
          <w:sz w:val="16"/>
          <w:szCs w:val="16"/>
        </w:rPr>
        <w:t>Current</w:t>
      </w:r>
      <w:proofErr w:type="spellEnd"/>
      <w:r w:rsidRPr="00586534">
        <w:rPr>
          <w:rFonts w:ascii="Arial" w:hAnsi="Arial" w:cs="Arial"/>
          <w:sz w:val="16"/>
          <w:szCs w:val="16"/>
        </w:rPr>
        <w:t xml:space="preserve"> </w:t>
      </w:r>
      <w:proofErr w:type="spellStart"/>
      <w:r w:rsidRPr="00586534">
        <w:rPr>
          <w:rFonts w:ascii="Arial" w:hAnsi="Arial" w:cs="Arial"/>
          <w:sz w:val="16"/>
          <w:szCs w:val="16"/>
        </w:rPr>
        <w:t>Drug</w:t>
      </w:r>
      <w:proofErr w:type="spellEnd"/>
      <w:r w:rsidRPr="00586534">
        <w:rPr>
          <w:rFonts w:ascii="Arial" w:hAnsi="Arial" w:cs="Arial"/>
          <w:sz w:val="16"/>
          <w:szCs w:val="16"/>
        </w:rPr>
        <w:t xml:space="preserve"> Safety, 329-332.</w:t>
      </w:r>
    </w:p>
  </w:footnote>
  <w:footnote w:id="24">
    <w:p w:rsidR="004F5A47" w:rsidRPr="00F06019" w:rsidRDefault="004F5A47" w:rsidP="004F5A47">
      <w:pPr>
        <w:pStyle w:val="Textonotapie"/>
        <w:rPr>
          <w:rFonts w:ascii="Arial" w:hAnsi="Arial" w:cs="Arial"/>
          <w:sz w:val="16"/>
          <w:szCs w:val="16"/>
        </w:rPr>
      </w:pPr>
      <w:r w:rsidRPr="00F06019">
        <w:rPr>
          <w:rStyle w:val="Refdenotaalpie"/>
          <w:rFonts w:ascii="Arial" w:hAnsi="Arial" w:cs="Arial"/>
          <w:sz w:val="16"/>
          <w:szCs w:val="16"/>
        </w:rPr>
        <w:footnoteRef/>
      </w:r>
      <w:r w:rsidRPr="00F06019">
        <w:rPr>
          <w:rFonts w:ascii="Arial" w:hAnsi="Arial" w:cs="Arial"/>
          <w:sz w:val="16"/>
          <w:szCs w:val="16"/>
        </w:rPr>
        <w:t xml:space="preserve"> CPC. Artículo 78. La ley regulará el control de calidad de bienes y servicios ofrecidos y prestados a la comunidad, así como la información que debe suministrarse al público en su comercialización. Serán responsables, de acuerdo con la ley, quienes en la producción y en la comercialización de bienes y servicios, atenten contra la salud, la seguridad y el adecuado aprovisionamiento a consumidores y usuarios.</w:t>
      </w:r>
    </w:p>
  </w:footnote>
  <w:footnote w:id="25">
    <w:p w:rsidR="004F5A47" w:rsidRPr="00F06019" w:rsidRDefault="004F5A47" w:rsidP="004F5A47">
      <w:pPr>
        <w:pStyle w:val="Textonotapie"/>
        <w:rPr>
          <w:rFonts w:ascii="Arial" w:hAnsi="Arial" w:cs="Arial"/>
          <w:sz w:val="16"/>
          <w:szCs w:val="16"/>
        </w:rPr>
      </w:pPr>
      <w:r w:rsidRPr="00F06019">
        <w:rPr>
          <w:rStyle w:val="Refdenotaalpie"/>
          <w:rFonts w:ascii="Arial" w:hAnsi="Arial" w:cs="Arial"/>
          <w:sz w:val="16"/>
          <w:szCs w:val="16"/>
        </w:rPr>
        <w:footnoteRef/>
      </w:r>
      <w:r w:rsidRPr="00F06019">
        <w:rPr>
          <w:rFonts w:ascii="Arial" w:hAnsi="Arial" w:cs="Arial"/>
          <w:sz w:val="16"/>
          <w:szCs w:val="16"/>
        </w:rPr>
        <w:t xml:space="preserve"> “</w:t>
      </w:r>
      <w:r>
        <w:rPr>
          <w:rFonts w:ascii="Arial" w:hAnsi="Arial" w:cs="Arial"/>
          <w:sz w:val="16"/>
          <w:szCs w:val="16"/>
        </w:rPr>
        <w:t>L</w:t>
      </w:r>
      <w:r w:rsidRPr="00F06019">
        <w:rPr>
          <w:rFonts w:ascii="Arial" w:hAnsi="Arial" w:cs="Arial"/>
          <w:sz w:val="16"/>
          <w:szCs w:val="16"/>
        </w:rPr>
        <w:t>a publicidad es desarrollo del derecho a la propiedad privada, a la libertad de empresa y a la libertad económica, antes</w:t>
      </w:r>
      <w:r>
        <w:rPr>
          <w:rFonts w:ascii="Arial" w:hAnsi="Arial" w:cs="Arial"/>
          <w:sz w:val="16"/>
          <w:szCs w:val="16"/>
        </w:rPr>
        <w:t xml:space="preserve"> </w:t>
      </w:r>
      <w:r w:rsidRPr="00F06019">
        <w:rPr>
          <w:rFonts w:ascii="Arial" w:hAnsi="Arial" w:cs="Arial"/>
          <w:sz w:val="16"/>
          <w:szCs w:val="16"/>
        </w:rPr>
        <w:t xml:space="preserve">que aplicación de la libertad </w:t>
      </w:r>
      <w:r>
        <w:rPr>
          <w:rFonts w:ascii="Arial" w:hAnsi="Arial" w:cs="Arial"/>
          <w:sz w:val="16"/>
          <w:szCs w:val="16"/>
        </w:rPr>
        <w:t xml:space="preserve">de expresión, razón suficiente para que la publicidad y la </w:t>
      </w:r>
      <w:r w:rsidRPr="00F06019">
        <w:rPr>
          <w:rFonts w:ascii="Arial" w:hAnsi="Arial" w:cs="Arial"/>
          <w:sz w:val="16"/>
          <w:szCs w:val="16"/>
        </w:rPr>
        <w:t>propaganda comercial estén sometidas a la regulación de la “Constitución económica”, lo que supone, com</w:t>
      </w:r>
      <w:r>
        <w:rPr>
          <w:rFonts w:ascii="Arial" w:hAnsi="Arial" w:cs="Arial"/>
          <w:sz w:val="16"/>
          <w:szCs w:val="16"/>
        </w:rPr>
        <w:t>o se ha dicho, un mayor control.</w:t>
      </w:r>
      <w:r w:rsidRPr="00F06019">
        <w:rPr>
          <w:rFonts w:ascii="Arial" w:hAnsi="Arial" w:cs="Arial"/>
          <w:sz w:val="16"/>
          <w:szCs w:val="16"/>
        </w:rPr>
        <w:t>” C-592 de 2012.</w:t>
      </w:r>
    </w:p>
  </w:footnote>
  <w:footnote w:id="26">
    <w:p w:rsidR="00B36C65" w:rsidRPr="00B36C65" w:rsidRDefault="00B36C65">
      <w:pPr>
        <w:pStyle w:val="Textonotapie"/>
        <w:rPr>
          <w:rFonts w:ascii="Arial" w:hAnsi="Arial" w:cs="Arial"/>
          <w:sz w:val="16"/>
          <w:szCs w:val="16"/>
          <w:lang w:val="es-ES"/>
        </w:rPr>
      </w:pPr>
      <w:r w:rsidRPr="00B36C65">
        <w:rPr>
          <w:rStyle w:val="Refdenotaalpie"/>
          <w:rFonts w:ascii="Arial" w:hAnsi="Arial" w:cs="Arial"/>
          <w:sz w:val="16"/>
          <w:szCs w:val="16"/>
        </w:rPr>
        <w:footnoteRef/>
      </w:r>
      <w:r w:rsidRPr="00B36C65">
        <w:rPr>
          <w:rFonts w:ascii="Arial" w:hAnsi="Arial" w:cs="Arial"/>
          <w:sz w:val="16"/>
          <w:szCs w:val="16"/>
        </w:rPr>
        <w:t xml:space="preserve"> http://www.sic.gov.co/informacion-enganosa</w:t>
      </w:r>
    </w:p>
  </w:footnote>
  <w:footnote w:id="27">
    <w:p w:rsidR="00C13F3E" w:rsidRPr="0017097A" w:rsidRDefault="00C13F3E" w:rsidP="00C13F3E">
      <w:pPr>
        <w:pStyle w:val="Textonotapie"/>
        <w:rPr>
          <w:rFonts w:ascii="Arial" w:hAnsi="Arial" w:cs="Arial"/>
          <w:sz w:val="16"/>
          <w:szCs w:val="16"/>
          <w:lang w:val="es-ES"/>
        </w:rPr>
      </w:pPr>
      <w:r w:rsidRPr="0017097A">
        <w:rPr>
          <w:rStyle w:val="Refdenotaalpie"/>
          <w:rFonts w:ascii="Arial" w:hAnsi="Arial" w:cs="Arial"/>
          <w:sz w:val="16"/>
          <w:szCs w:val="16"/>
        </w:rPr>
        <w:footnoteRef/>
      </w:r>
      <w:r w:rsidRPr="0017097A">
        <w:rPr>
          <w:rFonts w:ascii="Arial" w:hAnsi="Arial" w:cs="Arial"/>
          <w:sz w:val="16"/>
          <w:szCs w:val="16"/>
        </w:rPr>
        <w:t xml:space="preserve"> </w:t>
      </w:r>
      <w:hyperlink r:id="rId3" w:history="1">
        <w:r w:rsidRPr="0017097A">
          <w:rPr>
            <w:rStyle w:val="Hipervnculo"/>
            <w:rFonts w:ascii="Arial" w:hAnsi="Arial" w:cs="Arial"/>
            <w:color w:val="auto"/>
            <w:sz w:val="16"/>
            <w:szCs w:val="16"/>
            <w:u w:val="none"/>
          </w:rPr>
          <w:t>http://www.saludyfarmacos.org/lang/en/boletin-farmacos/boletines/feb2013/publicidad-de-medicamentos-automedicacin-y-tica-farmacutica-una-trada-farmacutica/</w:t>
        </w:r>
      </w:hyperlink>
      <w:r w:rsidRPr="0017097A">
        <w:rPr>
          <w:rFonts w:ascii="Arial" w:hAnsi="Arial" w:cs="Arial"/>
          <w:sz w:val="16"/>
          <w:szCs w:val="16"/>
        </w:rPr>
        <w:t xml:space="preserve"> </w:t>
      </w:r>
    </w:p>
  </w:footnote>
  <w:footnote w:id="28">
    <w:p w:rsidR="00CD5025" w:rsidRPr="00CD5025" w:rsidRDefault="00CD5025">
      <w:pPr>
        <w:pStyle w:val="Textonotapie"/>
        <w:rPr>
          <w:rFonts w:ascii="Arial" w:hAnsi="Arial" w:cs="Arial"/>
          <w:sz w:val="16"/>
          <w:szCs w:val="16"/>
          <w:lang w:val="es-ES"/>
        </w:rPr>
      </w:pPr>
      <w:r w:rsidRPr="00CD5025">
        <w:rPr>
          <w:rStyle w:val="Refdenotaalpie"/>
          <w:rFonts w:ascii="Arial" w:hAnsi="Arial" w:cs="Arial"/>
          <w:sz w:val="16"/>
          <w:szCs w:val="16"/>
        </w:rPr>
        <w:footnoteRef/>
      </w:r>
      <w:r w:rsidRPr="00CD5025">
        <w:rPr>
          <w:rFonts w:ascii="Arial" w:hAnsi="Arial" w:cs="Arial"/>
          <w:sz w:val="16"/>
          <w:szCs w:val="16"/>
        </w:rPr>
        <w:t xml:space="preserve"> http://www.scielo.org.co/scielo.php?script=sci_arttext&amp;pid=S0034-74182018000200169&amp;lng=es&amp;nrm=iso&amp;tlng=es</w:t>
      </w:r>
    </w:p>
  </w:footnote>
  <w:footnote w:id="29">
    <w:p w:rsidR="00286018" w:rsidRPr="00286018" w:rsidRDefault="00286018">
      <w:pPr>
        <w:pStyle w:val="Textonotapie"/>
        <w:rPr>
          <w:rFonts w:ascii="Arial" w:hAnsi="Arial" w:cs="Arial"/>
          <w:sz w:val="16"/>
          <w:szCs w:val="16"/>
          <w:lang w:val="es-ES"/>
        </w:rPr>
      </w:pPr>
      <w:r w:rsidRPr="00286018">
        <w:rPr>
          <w:rStyle w:val="Refdenotaalpie"/>
          <w:rFonts w:ascii="Arial" w:hAnsi="Arial" w:cs="Arial"/>
          <w:sz w:val="16"/>
          <w:szCs w:val="16"/>
        </w:rPr>
        <w:footnoteRef/>
      </w:r>
      <w:r w:rsidRPr="00286018">
        <w:rPr>
          <w:rFonts w:ascii="Arial" w:hAnsi="Arial" w:cs="Arial"/>
          <w:sz w:val="16"/>
          <w:szCs w:val="16"/>
        </w:rPr>
        <w:t xml:space="preserve"> https://es.qwerty.wiki/wiki/Direct-to-consumer_advertising</w:t>
      </w:r>
    </w:p>
  </w:footnote>
  <w:footnote w:id="30">
    <w:p w:rsidR="00F06D4B" w:rsidRPr="00F06D4B" w:rsidRDefault="00F06D4B">
      <w:pPr>
        <w:pStyle w:val="Textonotapie"/>
        <w:rPr>
          <w:rFonts w:ascii="Arial" w:hAnsi="Arial" w:cs="Arial"/>
          <w:sz w:val="16"/>
          <w:szCs w:val="16"/>
          <w:lang w:val="es-ES"/>
        </w:rPr>
      </w:pPr>
      <w:r w:rsidRPr="00F06D4B">
        <w:rPr>
          <w:rStyle w:val="Refdenotaalpie"/>
          <w:rFonts w:ascii="Arial" w:hAnsi="Arial" w:cs="Arial"/>
          <w:sz w:val="16"/>
          <w:szCs w:val="16"/>
        </w:rPr>
        <w:footnoteRef/>
      </w:r>
      <w:r w:rsidRPr="00F06D4B">
        <w:rPr>
          <w:rFonts w:ascii="Arial" w:hAnsi="Arial" w:cs="Arial"/>
          <w:sz w:val="16"/>
          <w:szCs w:val="16"/>
        </w:rPr>
        <w:t xml:space="preserve"> https://www.psicoactiva.com/blog/los-arquetipos-de-jung/</w:t>
      </w:r>
    </w:p>
  </w:footnote>
  <w:footnote w:id="31">
    <w:p w:rsidR="00F06D4B" w:rsidRPr="0017097A" w:rsidRDefault="00F06D4B" w:rsidP="00F06D4B">
      <w:pPr>
        <w:pStyle w:val="Textonotapie"/>
        <w:rPr>
          <w:rFonts w:ascii="Arial" w:hAnsi="Arial" w:cs="Arial"/>
          <w:sz w:val="16"/>
          <w:szCs w:val="16"/>
          <w:lang w:val="es-ES"/>
        </w:rPr>
      </w:pPr>
      <w:r w:rsidRPr="0017097A">
        <w:rPr>
          <w:rStyle w:val="Refdenotaalpie"/>
          <w:rFonts w:ascii="Arial" w:hAnsi="Arial" w:cs="Arial"/>
          <w:sz w:val="16"/>
          <w:szCs w:val="16"/>
        </w:rPr>
        <w:footnoteRef/>
      </w:r>
      <w:r w:rsidRPr="0017097A">
        <w:rPr>
          <w:rFonts w:ascii="Arial" w:hAnsi="Arial" w:cs="Arial"/>
          <w:sz w:val="16"/>
          <w:szCs w:val="16"/>
        </w:rPr>
        <w:t xml:space="preserve"> </w:t>
      </w:r>
      <w:proofErr w:type="spellStart"/>
      <w:r w:rsidRPr="0017097A">
        <w:rPr>
          <w:rFonts w:ascii="Arial" w:hAnsi="Arial" w:cs="Arial"/>
          <w:sz w:val="16"/>
          <w:szCs w:val="16"/>
        </w:rPr>
        <w:t>Woodside</w:t>
      </w:r>
      <w:proofErr w:type="spellEnd"/>
      <w:r w:rsidRPr="0017097A">
        <w:rPr>
          <w:rFonts w:ascii="Arial" w:hAnsi="Arial" w:cs="Arial"/>
          <w:sz w:val="16"/>
          <w:szCs w:val="16"/>
        </w:rPr>
        <w:t xml:space="preserve">, A. (2018). El impacto de los arquetipos publicitarios en el compromiso y el comportamiento de los médicos en el contexto de los productos sanitarios. </w:t>
      </w:r>
      <w:proofErr w:type="spellStart"/>
      <w:r w:rsidRPr="0017097A">
        <w:rPr>
          <w:rFonts w:ascii="Arial" w:hAnsi="Arial" w:cs="Arial"/>
          <w:sz w:val="16"/>
          <w:szCs w:val="16"/>
        </w:rPr>
        <w:t>Psychology</w:t>
      </w:r>
      <w:proofErr w:type="spellEnd"/>
      <w:r w:rsidRPr="0017097A">
        <w:rPr>
          <w:rFonts w:ascii="Arial" w:hAnsi="Arial" w:cs="Arial"/>
          <w:sz w:val="16"/>
          <w:szCs w:val="16"/>
        </w:rPr>
        <w:t xml:space="preserve"> &amp; Marketing, 533-541.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D2" w:rsidRDefault="008B36D2" w:rsidP="008B36D2">
    <w:pPr>
      <w:pStyle w:val="Encabezado"/>
      <w:jc w:val="center"/>
    </w:pPr>
    <w:r>
      <w:rPr>
        <w:noProof/>
        <w:lang w:eastAsia="es-CO"/>
      </w:rPr>
      <w:drawing>
        <wp:inline distT="0" distB="0" distL="0" distR="0">
          <wp:extent cx="1466157" cy="79057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jfif"/>
                  <pic:cNvPicPr/>
                </pic:nvPicPr>
                <pic:blipFill>
                  <a:blip r:embed="rId1">
                    <a:extLst>
                      <a:ext uri="{28A0092B-C50C-407E-A947-70E740481C1C}">
                        <a14:useLocalDpi xmlns:a14="http://schemas.microsoft.com/office/drawing/2010/main" val="0"/>
                      </a:ext>
                    </a:extLst>
                  </a:blip>
                  <a:stretch>
                    <a:fillRect/>
                  </a:stretch>
                </pic:blipFill>
                <pic:spPr>
                  <a:xfrm>
                    <a:off x="0" y="0"/>
                    <a:ext cx="1492196" cy="804616"/>
                  </a:xfrm>
                  <a:prstGeom prst="rect">
                    <a:avLst/>
                  </a:prstGeom>
                </pic:spPr>
              </pic:pic>
            </a:graphicData>
          </a:graphic>
        </wp:inline>
      </w:drawing>
    </w:r>
  </w:p>
  <w:p w:rsidR="008B36D2" w:rsidRPr="008B36D2" w:rsidRDefault="008B36D2" w:rsidP="00FF42B1">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C4A"/>
    <w:multiLevelType w:val="hybridMultilevel"/>
    <w:tmpl w:val="B610030E"/>
    <w:lvl w:ilvl="0" w:tplc="73B20EC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nsid w:val="16644067"/>
    <w:multiLevelType w:val="hybridMultilevel"/>
    <w:tmpl w:val="0D3625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6DD4778"/>
    <w:multiLevelType w:val="hybridMultilevel"/>
    <w:tmpl w:val="71A65450"/>
    <w:lvl w:ilvl="0" w:tplc="08B0BB46">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C9"/>
    <w:rsid w:val="0004730D"/>
    <w:rsid w:val="00075394"/>
    <w:rsid w:val="000824DF"/>
    <w:rsid w:val="000E19F5"/>
    <w:rsid w:val="000F41DE"/>
    <w:rsid w:val="001055EE"/>
    <w:rsid w:val="00127CA9"/>
    <w:rsid w:val="0013237A"/>
    <w:rsid w:val="001567C6"/>
    <w:rsid w:val="0017097A"/>
    <w:rsid w:val="0017578F"/>
    <w:rsid w:val="001874C0"/>
    <w:rsid w:val="001A65AA"/>
    <w:rsid w:val="002460F2"/>
    <w:rsid w:val="00286018"/>
    <w:rsid w:val="00305774"/>
    <w:rsid w:val="0034267E"/>
    <w:rsid w:val="003A31F9"/>
    <w:rsid w:val="003C2D44"/>
    <w:rsid w:val="003D11A6"/>
    <w:rsid w:val="003D4E84"/>
    <w:rsid w:val="003F4431"/>
    <w:rsid w:val="00405991"/>
    <w:rsid w:val="00424A20"/>
    <w:rsid w:val="004342FA"/>
    <w:rsid w:val="00452E52"/>
    <w:rsid w:val="0046782D"/>
    <w:rsid w:val="0048495F"/>
    <w:rsid w:val="004873DE"/>
    <w:rsid w:val="004904B4"/>
    <w:rsid w:val="004972EE"/>
    <w:rsid w:val="004E15E0"/>
    <w:rsid w:val="004E29D3"/>
    <w:rsid w:val="004E6E53"/>
    <w:rsid w:val="004F5A47"/>
    <w:rsid w:val="005051F9"/>
    <w:rsid w:val="005077BE"/>
    <w:rsid w:val="0051753D"/>
    <w:rsid w:val="00526427"/>
    <w:rsid w:val="00541892"/>
    <w:rsid w:val="00542191"/>
    <w:rsid w:val="00563054"/>
    <w:rsid w:val="00575350"/>
    <w:rsid w:val="005762D4"/>
    <w:rsid w:val="00585916"/>
    <w:rsid w:val="00586534"/>
    <w:rsid w:val="00586EEF"/>
    <w:rsid w:val="005B3781"/>
    <w:rsid w:val="005B5A4A"/>
    <w:rsid w:val="005C543E"/>
    <w:rsid w:val="005D09EB"/>
    <w:rsid w:val="00604BC1"/>
    <w:rsid w:val="00606361"/>
    <w:rsid w:val="00640206"/>
    <w:rsid w:val="006A2FBD"/>
    <w:rsid w:val="006A4DCE"/>
    <w:rsid w:val="006E099D"/>
    <w:rsid w:val="00702B93"/>
    <w:rsid w:val="00720F64"/>
    <w:rsid w:val="00722555"/>
    <w:rsid w:val="007279FA"/>
    <w:rsid w:val="007530AC"/>
    <w:rsid w:val="00754931"/>
    <w:rsid w:val="00754F22"/>
    <w:rsid w:val="007B5117"/>
    <w:rsid w:val="007B7B7E"/>
    <w:rsid w:val="007D089B"/>
    <w:rsid w:val="007D5BC5"/>
    <w:rsid w:val="008161CA"/>
    <w:rsid w:val="00817E18"/>
    <w:rsid w:val="0083563F"/>
    <w:rsid w:val="00842976"/>
    <w:rsid w:val="00865F30"/>
    <w:rsid w:val="0088133D"/>
    <w:rsid w:val="00896536"/>
    <w:rsid w:val="008B36D2"/>
    <w:rsid w:val="00922927"/>
    <w:rsid w:val="00942DC7"/>
    <w:rsid w:val="009430F0"/>
    <w:rsid w:val="00982B28"/>
    <w:rsid w:val="009B3395"/>
    <w:rsid w:val="009C24A2"/>
    <w:rsid w:val="009D4FE0"/>
    <w:rsid w:val="009E7C12"/>
    <w:rsid w:val="009F5203"/>
    <w:rsid w:val="00A10C4B"/>
    <w:rsid w:val="00A525C9"/>
    <w:rsid w:val="00A61E82"/>
    <w:rsid w:val="00AA1861"/>
    <w:rsid w:val="00AB45D5"/>
    <w:rsid w:val="00AB5253"/>
    <w:rsid w:val="00AC5B69"/>
    <w:rsid w:val="00AD5668"/>
    <w:rsid w:val="00B02EF8"/>
    <w:rsid w:val="00B149B1"/>
    <w:rsid w:val="00B21FF0"/>
    <w:rsid w:val="00B27767"/>
    <w:rsid w:val="00B36C65"/>
    <w:rsid w:val="00B511AA"/>
    <w:rsid w:val="00B512DE"/>
    <w:rsid w:val="00B6199E"/>
    <w:rsid w:val="00B639F3"/>
    <w:rsid w:val="00B76759"/>
    <w:rsid w:val="00B76CD6"/>
    <w:rsid w:val="00B95BFE"/>
    <w:rsid w:val="00B96AA5"/>
    <w:rsid w:val="00BA31B6"/>
    <w:rsid w:val="00BA6B7B"/>
    <w:rsid w:val="00BF32B4"/>
    <w:rsid w:val="00C13F3E"/>
    <w:rsid w:val="00C15F34"/>
    <w:rsid w:val="00C35A5F"/>
    <w:rsid w:val="00C60D96"/>
    <w:rsid w:val="00CB1910"/>
    <w:rsid w:val="00CD5025"/>
    <w:rsid w:val="00D45A2A"/>
    <w:rsid w:val="00DC4551"/>
    <w:rsid w:val="00DF2A10"/>
    <w:rsid w:val="00E054FA"/>
    <w:rsid w:val="00E07D31"/>
    <w:rsid w:val="00E20E44"/>
    <w:rsid w:val="00E41F17"/>
    <w:rsid w:val="00E6479D"/>
    <w:rsid w:val="00E77B9E"/>
    <w:rsid w:val="00E87FB1"/>
    <w:rsid w:val="00EB32CC"/>
    <w:rsid w:val="00EC1493"/>
    <w:rsid w:val="00EC607E"/>
    <w:rsid w:val="00ED760A"/>
    <w:rsid w:val="00F0246B"/>
    <w:rsid w:val="00F06019"/>
    <w:rsid w:val="00F06D4B"/>
    <w:rsid w:val="00F157EF"/>
    <w:rsid w:val="00F17463"/>
    <w:rsid w:val="00F4592D"/>
    <w:rsid w:val="00F57143"/>
    <w:rsid w:val="00F7561A"/>
    <w:rsid w:val="00F76F1B"/>
    <w:rsid w:val="00FB2E3C"/>
    <w:rsid w:val="00FF42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06361"/>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530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530AC"/>
    <w:rPr>
      <w:b/>
      <w:bCs/>
    </w:rPr>
  </w:style>
  <w:style w:type="character" w:styleId="Hipervnculo">
    <w:name w:val="Hyperlink"/>
    <w:basedOn w:val="Fuentedeprrafopredeter"/>
    <w:uiPriority w:val="99"/>
    <w:unhideWhenUsed/>
    <w:rsid w:val="007530AC"/>
    <w:rPr>
      <w:color w:val="0000FF"/>
      <w:u w:val="single"/>
    </w:rPr>
  </w:style>
  <w:style w:type="character" w:customStyle="1" w:styleId="elsevierstylesup">
    <w:name w:val="elsevierstylesup"/>
    <w:basedOn w:val="Fuentedeprrafopredeter"/>
    <w:rsid w:val="00AD5668"/>
  </w:style>
  <w:style w:type="paragraph" w:styleId="Prrafodelista">
    <w:name w:val="List Paragraph"/>
    <w:basedOn w:val="Normal"/>
    <w:uiPriority w:val="34"/>
    <w:qFormat/>
    <w:rsid w:val="009430F0"/>
    <w:pPr>
      <w:ind w:left="720"/>
      <w:contextualSpacing/>
    </w:pPr>
  </w:style>
  <w:style w:type="paragraph" w:styleId="Textonotapie">
    <w:name w:val="footnote text"/>
    <w:basedOn w:val="Normal"/>
    <w:link w:val="TextonotapieCar"/>
    <w:uiPriority w:val="99"/>
    <w:semiHidden/>
    <w:unhideWhenUsed/>
    <w:rsid w:val="004873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73DE"/>
    <w:rPr>
      <w:sz w:val="20"/>
      <w:szCs w:val="20"/>
    </w:rPr>
  </w:style>
  <w:style w:type="character" w:styleId="Refdenotaalpie">
    <w:name w:val="footnote reference"/>
    <w:basedOn w:val="Fuentedeprrafopredeter"/>
    <w:uiPriority w:val="99"/>
    <w:unhideWhenUsed/>
    <w:rsid w:val="004873DE"/>
    <w:rPr>
      <w:vertAlign w:val="superscript"/>
    </w:rPr>
  </w:style>
  <w:style w:type="paragraph" w:styleId="Textonotaalfinal">
    <w:name w:val="endnote text"/>
    <w:basedOn w:val="Normal"/>
    <w:link w:val="TextonotaalfinalCar"/>
    <w:uiPriority w:val="99"/>
    <w:semiHidden/>
    <w:unhideWhenUsed/>
    <w:rsid w:val="00586EE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6EEF"/>
    <w:rPr>
      <w:sz w:val="20"/>
      <w:szCs w:val="20"/>
    </w:rPr>
  </w:style>
  <w:style w:type="character" w:styleId="Refdenotaalfinal">
    <w:name w:val="endnote reference"/>
    <w:basedOn w:val="Fuentedeprrafopredeter"/>
    <w:uiPriority w:val="99"/>
    <w:semiHidden/>
    <w:unhideWhenUsed/>
    <w:rsid w:val="00586EEF"/>
    <w:rPr>
      <w:vertAlign w:val="superscript"/>
    </w:rPr>
  </w:style>
  <w:style w:type="character" w:customStyle="1" w:styleId="UnresolvedMention">
    <w:name w:val="Unresolved Mention"/>
    <w:basedOn w:val="Fuentedeprrafopredeter"/>
    <w:uiPriority w:val="99"/>
    <w:semiHidden/>
    <w:unhideWhenUsed/>
    <w:rsid w:val="00586EEF"/>
    <w:rPr>
      <w:color w:val="808080"/>
      <w:shd w:val="clear" w:color="auto" w:fill="E6E6E6"/>
    </w:rPr>
  </w:style>
  <w:style w:type="character" w:customStyle="1" w:styleId="Ttulo1Car">
    <w:name w:val="Título 1 Car"/>
    <w:basedOn w:val="Fuentedeprrafopredeter"/>
    <w:link w:val="Ttulo1"/>
    <w:uiPriority w:val="9"/>
    <w:rsid w:val="00606361"/>
    <w:rPr>
      <w:rFonts w:asciiTheme="majorHAnsi" w:eastAsiaTheme="majorEastAsia" w:hAnsiTheme="majorHAnsi" w:cstheme="majorBidi"/>
      <w:color w:val="2F5496" w:themeColor="accent1" w:themeShade="BF"/>
      <w:sz w:val="32"/>
      <w:szCs w:val="32"/>
      <w:lang w:val="es-ES" w:eastAsia="es-ES"/>
    </w:rPr>
  </w:style>
  <w:style w:type="paragraph" w:styleId="Bibliografa">
    <w:name w:val="Bibliography"/>
    <w:basedOn w:val="Normal"/>
    <w:next w:val="Normal"/>
    <w:uiPriority w:val="37"/>
    <w:unhideWhenUsed/>
    <w:rsid w:val="00606361"/>
  </w:style>
  <w:style w:type="paragraph" w:styleId="Encabezado">
    <w:name w:val="header"/>
    <w:basedOn w:val="Normal"/>
    <w:link w:val="EncabezadoCar"/>
    <w:uiPriority w:val="99"/>
    <w:unhideWhenUsed/>
    <w:rsid w:val="008B36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36D2"/>
  </w:style>
  <w:style w:type="paragraph" w:styleId="Piedepgina">
    <w:name w:val="footer"/>
    <w:basedOn w:val="Normal"/>
    <w:link w:val="PiedepginaCar"/>
    <w:uiPriority w:val="99"/>
    <w:unhideWhenUsed/>
    <w:rsid w:val="008B36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36D2"/>
  </w:style>
  <w:style w:type="character" w:styleId="nfasissutil">
    <w:name w:val="Subtle Emphasis"/>
    <w:basedOn w:val="Fuentedeprrafopredeter"/>
    <w:uiPriority w:val="19"/>
    <w:qFormat/>
    <w:rsid w:val="0017097A"/>
    <w:rPr>
      <w:i/>
      <w:iCs/>
      <w:color w:val="404040" w:themeColor="text1" w:themeTint="BF"/>
    </w:rPr>
  </w:style>
  <w:style w:type="character" w:styleId="nfasis">
    <w:name w:val="Emphasis"/>
    <w:basedOn w:val="Fuentedeprrafopredeter"/>
    <w:uiPriority w:val="20"/>
    <w:qFormat/>
    <w:rsid w:val="00E87FB1"/>
    <w:rPr>
      <w:i/>
      <w:iCs/>
    </w:rPr>
  </w:style>
  <w:style w:type="paragraph" w:customStyle="1" w:styleId="Default">
    <w:name w:val="Default"/>
    <w:rsid w:val="009F5203"/>
    <w:pPr>
      <w:autoSpaceDE w:val="0"/>
      <w:autoSpaceDN w:val="0"/>
      <w:adjustRightInd w:val="0"/>
      <w:spacing w:after="0" w:line="240" w:lineRule="auto"/>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4E29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9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06361"/>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530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530AC"/>
    <w:rPr>
      <w:b/>
      <w:bCs/>
    </w:rPr>
  </w:style>
  <w:style w:type="character" w:styleId="Hipervnculo">
    <w:name w:val="Hyperlink"/>
    <w:basedOn w:val="Fuentedeprrafopredeter"/>
    <w:uiPriority w:val="99"/>
    <w:unhideWhenUsed/>
    <w:rsid w:val="007530AC"/>
    <w:rPr>
      <w:color w:val="0000FF"/>
      <w:u w:val="single"/>
    </w:rPr>
  </w:style>
  <w:style w:type="character" w:customStyle="1" w:styleId="elsevierstylesup">
    <w:name w:val="elsevierstylesup"/>
    <w:basedOn w:val="Fuentedeprrafopredeter"/>
    <w:rsid w:val="00AD5668"/>
  </w:style>
  <w:style w:type="paragraph" w:styleId="Prrafodelista">
    <w:name w:val="List Paragraph"/>
    <w:basedOn w:val="Normal"/>
    <w:uiPriority w:val="34"/>
    <w:qFormat/>
    <w:rsid w:val="009430F0"/>
    <w:pPr>
      <w:ind w:left="720"/>
      <w:contextualSpacing/>
    </w:pPr>
  </w:style>
  <w:style w:type="paragraph" w:styleId="Textonotapie">
    <w:name w:val="footnote text"/>
    <w:basedOn w:val="Normal"/>
    <w:link w:val="TextonotapieCar"/>
    <w:uiPriority w:val="99"/>
    <w:semiHidden/>
    <w:unhideWhenUsed/>
    <w:rsid w:val="004873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73DE"/>
    <w:rPr>
      <w:sz w:val="20"/>
      <w:szCs w:val="20"/>
    </w:rPr>
  </w:style>
  <w:style w:type="character" w:styleId="Refdenotaalpie">
    <w:name w:val="footnote reference"/>
    <w:basedOn w:val="Fuentedeprrafopredeter"/>
    <w:uiPriority w:val="99"/>
    <w:unhideWhenUsed/>
    <w:rsid w:val="004873DE"/>
    <w:rPr>
      <w:vertAlign w:val="superscript"/>
    </w:rPr>
  </w:style>
  <w:style w:type="paragraph" w:styleId="Textonotaalfinal">
    <w:name w:val="endnote text"/>
    <w:basedOn w:val="Normal"/>
    <w:link w:val="TextonotaalfinalCar"/>
    <w:uiPriority w:val="99"/>
    <w:semiHidden/>
    <w:unhideWhenUsed/>
    <w:rsid w:val="00586EE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86EEF"/>
    <w:rPr>
      <w:sz w:val="20"/>
      <w:szCs w:val="20"/>
    </w:rPr>
  </w:style>
  <w:style w:type="character" w:styleId="Refdenotaalfinal">
    <w:name w:val="endnote reference"/>
    <w:basedOn w:val="Fuentedeprrafopredeter"/>
    <w:uiPriority w:val="99"/>
    <w:semiHidden/>
    <w:unhideWhenUsed/>
    <w:rsid w:val="00586EEF"/>
    <w:rPr>
      <w:vertAlign w:val="superscript"/>
    </w:rPr>
  </w:style>
  <w:style w:type="character" w:customStyle="1" w:styleId="UnresolvedMention">
    <w:name w:val="Unresolved Mention"/>
    <w:basedOn w:val="Fuentedeprrafopredeter"/>
    <w:uiPriority w:val="99"/>
    <w:semiHidden/>
    <w:unhideWhenUsed/>
    <w:rsid w:val="00586EEF"/>
    <w:rPr>
      <w:color w:val="808080"/>
      <w:shd w:val="clear" w:color="auto" w:fill="E6E6E6"/>
    </w:rPr>
  </w:style>
  <w:style w:type="character" w:customStyle="1" w:styleId="Ttulo1Car">
    <w:name w:val="Título 1 Car"/>
    <w:basedOn w:val="Fuentedeprrafopredeter"/>
    <w:link w:val="Ttulo1"/>
    <w:uiPriority w:val="9"/>
    <w:rsid w:val="00606361"/>
    <w:rPr>
      <w:rFonts w:asciiTheme="majorHAnsi" w:eastAsiaTheme="majorEastAsia" w:hAnsiTheme="majorHAnsi" w:cstheme="majorBidi"/>
      <w:color w:val="2F5496" w:themeColor="accent1" w:themeShade="BF"/>
      <w:sz w:val="32"/>
      <w:szCs w:val="32"/>
      <w:lang w:val="es-ES" w:eastAsia="es-ES"/>
    </w:rPr>
  </w:style>
  <w:style w:type="paragraph" w:styleId="Bibliografa">
    <w:name w:val="Bibliography"/>
    <w:basedOn w:val="Normal"/>
    <w:next w:val="Normal"/>
    <w:uiPriority w:val="37"/>
    <w:unhideWhenUsed/>
    <w:rsid w:val="00606361"/>
  </w:style>
  <w:style w:type="paragraph" w:styleId="Encabezado">
    <w:name w:val="header"/>
    <w:basedOn w:val="Normal"/>
    <w:link w:val="EncabezadoCar"/>
    <w:uiPriority w:val="99"/>
    <w:unhideWhenUsed/>
    <w:rsid w:val="008B36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36D2"/>
  </w:style>
  <w:style w:type="paragraph" w:styleId="Piedepgina">
    <w:name w:val="footer"/>
    <w:basedOn w:val="Normal"/>
    <w:link w:val="PiedepginaCar"/>
    <w:uiPriority w:val="99"/>
    <w:unhideWhenUsed/>
    <w:rsid w:val="008B36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36D2"/>
  </w:style>
  <w:style w:type="character" w:styleId="nfasissutil">
    <w:name w:val="Subtle Emphasis"/>
    <w:basedOn w:val="Fuentedeprrafopredeter"/>
    <w:uiPriority w:val="19"/>
    <w:qFormat/>
    <w:rsid w:val="0017097A"/>
    <w:rPr>
      <w:i/>
      <w:iCs/>
      <w:color w:val="404040" w:themeColor="text1" w:themeTint="BF"/>
    </w:rPr>
  </w:style>
  <w:style w:type="character" w:styleId="nfasis">
    <w:name w:val="Emphasis"/>
    <w:basedOn w:val="Fuentedeprrafopredeter"/>
    <w:uiPriority w:val="20"/>
    <w:qFormat/>
    <w:rsid w:val="00E87FB1"/>
    <w:rPr>
      <w:i/>
      <w:iCs/>
    </w:rPr>
  </w:style>
  <w:style w:type="paragraph" w:customStyle="1" w:styleId="Default">
    <w:name w:val="Default"/>
    <w:rsid w:val="009F5203"/>
    <w:pPr>
      <w:autoSpaceDE w:val="0"/>
      <w:autoSpaceDN w:val="0"/>
      <w:adjustRightInd w:val="0"/>
      <w:spacing w:after="0" w:line="240" w:lineRule="auto"/>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4E29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830">
      <w:bodyDiv w:val="1"/>
      <w:marLeft w:val="0"/>
      <w:marRight w:val="0"/>
      <w:marTop w:val="0"/>
      <w:marBottom w:val="0"/>
      <w:divBdr>
        <w:top w:val="none" w:sz="0" w:space="0" w:color="auto"/>
        <w:left w:val="none" w:sz="0" w:space="0" w:color="auto"/>
        <w:bottom w:val="none" w:sz="0" w:space="0" w:color="auto"/>
        <w:right w:val="none" w:sz="0" w:space="0" w:color="auto"/>
      </w:divBdr>
      <w:divsChild>
        <w:div w:id="997611540">
          <w:marLeft w:val="0"/>
          <w:marRight w:val="0"/>
          <w:marTop w:val="48"/>
          <w:marBottom w:val="48"/>
          <w:divBdr>
            <w:top w:val="none" w:sz="0" w:space="0" w:color="auto"/>
            <w:left w:val="none" w:sz="0" w:space="0" w:color="auto"/>
            <w:bottom w:val="none" w:sz="0" w:space="0" w:color="auto"/>
            <w:right w:val="none" w:sz="0" w:space="0" w:color="auto"/>
          </w:divBdr>
        </w:div>
        <w:div w:id="151606962">
          <w:marLeft w:val="0"/>
          <w:marRight w:val="0"/>
          <w:marTop w:val="48"/>
          <w:marBottom w:val="48"/>
          <w:divBdr>
            <w:top w:val="none" w:sz="0" w:space="0" w:color="auto"/>
            <w:left w:val="none" w:sz="0" w:space="0" w:color="auto"/>
            <w:bottom w:val="none" w:sz="0" w:space="0" w:color="auto"/>
            <w:right w:val="none" w:sz="0" w:space="0" w:color="auto"/>
          </w:divBdr>
        </w:div>
      </w:divsChild>
    </w:div>
    <w:div w:id="43915604">
      <w:bodyDiv w:val="1"/>
      <w:marLeft w:val="0"/>
      <w:marRight w:val="0"/>
      <w:marTop w:val="0"/>
      <w:marBottom w:val="0"/>
      <w:divBdr>
        <w:top w:val="none" w:sz="0" w:space="0" w:color="auto"/>
        <w:left w:val="none" w:sz="0" w:space="0" w:color="auto"/>
        <w:bottom w:val="none" w:sz="0" w:space="0" w:color="auto"/>
        <w:right w:val="none" w:sz="0" w:space="0" w:color="auto"/>
      </w:divBdr>
    </w:div>
    <w:div w:id="59987150">
      <w:bodyDiv w:val="1"/>
      <w:marLeft w:val="0"/>
      <w:marRight w:val="0"/>
      <w:marTop w:val="0"/>
      <w:marBottom w:val="0"/>
      <w:divBdr>
        <w:top w:val="none" w:sz="0" w:space="0" w:color="auto"/>
        <w:left w:val="none" w:sz="0" w:space="0" w:color="auto"/>
        <w:bottom w:val="none" w:sz="0" w:space="0" w:color="auto"/>
        <w:right w:val="none" w:sz="0" w:space="0" w:color="auto"/>
      </w:divBdr>
    </w:div>
    <w:div w:id="94785153">
      <w:bodyDiv w:val="1"/>
      <w:marLeft w:val="0"/>
      <w:marRight w:val="0"/>
      <w:marTop w:val="0"/>
      <w:marBottom w:val="0"/>
      <w:divBdr>
        <w:top w:val="none" w:sz="0" w:space="0" w:color="auto"/>
        <w:left w:val="none" w:sz="0" w:space="0" w:color="auto"/>
        <w:bottom w:val="none" w:sz="0" w:space="0" w:color="auto"/>
        <w:right w:val="none" w:sz="0" w:space="0" w:color="auto"/>
      </w:divBdr>
    </w:div>
    <w:div w:id="114759734">
      <w:bodyDiv w:val="1"/>
      <w:marLeft w:val="0"/>
      <w:marRight w:val="0"/>
      <w:marTop w:val="0"/>
      <w:marBottom w:val="0"/>
      <w:divBdr>
        <w:top w:val="none" w:sz="0" w:space="0" w:color="auto"/>
        <w:left w:val="none" w:sz="0" w:space="0" w:color="auto"/>
        <w:bottom w:val="none" w:sz="0" w:space="0" w:color="auto"/>
        <w:right w:val="none" w:sz="0" w:space="0" w:color="auto"/>
      </w:divBdr>
    </w:div>
    <w:div w:id="225116538">
      <w:bodyDiv w:val="1"/>
      <w:marLeft w:val="0"/>
      <w:marRight w:val="0"/>
      <w:marTop w:val="0"/>
      <w:marBottom w:val="0"/>
      <w:divBdr>
        <w:top w:val="none" w:sz="0" w:space="0" w:color="auto"/>
        <w:left w:val="none" w:sz="0" w:space="0" w:color="auto"/>
        <w:bottom w:val="none" w:sz="0" w:space="0" w:color="auto"/>
        <w:right w:val="none" w:sz="0" w:space="0" w:color="auto"/>
      </w:divBdr>
    </w:div>
    <w:div w:id="236601176">
      <w:bodyDiv w:val="1"/>
      <w:marLeft w:val="0"/>
      <w:marRight w:val="0"/>
      <w:marTop w:val="0"/>
      <w:marBottom w:val="0"/>
      <w:divBdr>
        <w:top w:val="none" w:sz="0" w:space="0" w:color="auto"/>
        <w:left w:val="none" w:sz="0" w:space="0" w:color="auto"/>
        <w:bottom w:val="none" w:sz="0" w:space="0" w:color="auto"/>
        <w:right w:val="none" w:sz="0" w:space="0" w:color="auto"/>
      </w:divBdr>
    </w:div>
    <w:div w:id="238640306">
      <w:bodyDiv w:val="1"/>
      <w:marLeft w:val="0"/>
      <w:marRight w:val="0"/>
      <w:marTop w:val="0"/>
      <w:marBottom w:val="0"/>
      <w:divBdr>
        <w:top w:val="none" w:sz="0" w:space="0" w:color="auto"/>
        <w:left w:val="none" w:sz="0" w:space="0" w:color="auto"/>
        <w:bottom w:val="none" w:sz="0" w:space="0" w:color="auto"/>
        <w:right w:val="none" w:sz="0" w:space="0" w:color="auto"/>
      </w:divBdr>
    </w:div>
    <w:div w:id="257763533">
      <w:bodyDiv w:val="1"/>
      <w:marLeft w:val="0"/>
      <w:marRight w:val="0"/>
      <w:marTop w:val="0"/>
      <w:marBottom w:val="0"/>
      <w:divBdr>
        <w:top w:val="none" w:sz="0" w:space="0" w:color="auto"/>
        <w:left w:val="none" w:sz="0" w:space="0" w:color="auto"/>
        <w:bottom w:val="none" w:sz="0" w:space="0" w:color="auto"/>
        <w:right w:val="none" w:sz="0" w:space="0" w:color="auto"/>
      </w:divBdr>
    </w:div>
    <w:div w:id="299843227">
      <w:bodyDiv w:val="1"/>
      <w:marLeft w:val="0"/>
      <w:marRight w:val="0"/>
      <w:marTop w:val="0"/>
      <w:marBottom w:val="0"/>
      <w:divBdr>
        <w:top w:val="none" w:sz="0" w:space="0" w:color="auto"/>
        <w:left w:val="none" w:sz="0" w:space="0" w:color="auto"/>
        <w:bottom w:val="none" w:sz="0" w:space="0" w:color="auto"/>
        <w:right w:val="none" w:sz="0" w:space="0" w:color="auto"/>
      </w:divBdr>
    </w:div>
    <w:div w:id="302543116">
      <w:bodyDiv w:val="1"/>
      <w:marLeft w:val="0"/>
      <w:marRight w:val="0"/>
      <w:marTop w:val="0"/>
      <w:marBottom w:val="0"/>
      <w:divBdr>
        <w:top w:val="none" w:sz="0" w:space="0" w:color="auto"/>
        <w:left w:val="none" w:sz="0" w:space="0" w:color="auto"/>
        <w:bottom w:val="none" w:sz="0" w:space="0" w:color="auto"/>
        <w:right w:val="none" w:sz="0" w:space="0" w:color="auto"/>
      </w:divBdr>
    </w:div>
    <w:div w:id="356542302">
      <w:bodyDiv w:val="1"/>
      <w:marLeft w:val="0"/>
      <w:marRight w:val="0"/>
      <w:marTop w:val="0"/>
      <w:marBottom w:val="0"/>
      <w:divBdr>
        <w:top w:val="none" w:sz="0" w:space="0" w:color="auto"/>
        <w:left w:val="none" w:sz="0" w:space="0" w:color="auto"/>
        <w:bottom w:val="none" w:sz="0" w:space="0" w:color="auto"/>
        <w:right w:val="none" w:sz="0" w:space="0" w:color="auto"/>
      </w:divBdr>
    </w:div>
    <w:div w:id="380400814">
      <w:bodyDiv w:val="1"/>
      <w:marLeft w:val="0"/>
      <w:marRight w:val="0"/>
      <w:marTop w:val="0"/>
      <w:marBottom w:val="0"/>
      <w:divBdr>
        <w:top w:val="none" w:sz="0" w:space="0" w:color="auto"/>
        <w:left w:val="none" w:sz="0" w:space="0" w:color="auto"/>
        <w:bottom w:val="none" w:sz="0" w:space="0" w:color="auto"/>
        <w:right w:val="none" w:sz="0" w:space="0" w:color="auto"/>
      </w:divBdr>
    </w:div>
    <w:div w:id="392970263">
      <w:bodyDiv w:val="1"/>
      <w:marLeft w:val="0"/>
      <w:marRight w:val="0"/>
      <w:marTop w:val="0"/>
      <w:marBottom w:val="0"/>
      <w:divBdr>
        <w:top w:val="none" w:sz="0" w:space="0" w:color="auto"/>
        <w:left w:val="none" w:sz="0" w:space="0" w:color="auto"/>
        <w:bottom w:val="none" w:sz="0" w:space="0" w:color="auto"/>
        <w:right w:val="none" w:sz="0" w:space="0" w:color="auto"/>
      </w:divBdr>
    </w:div>
    <w:div w:id="425426302">
      <w:bodyDiv w:val="1"/>
      <w:marLeft w:val="0"/>
      <w:marRight w:val="0"/>
      <w:marTop w:val="0"/>
      <w:marBottom w:val="0"/>
      <w:divBdr>
        <w:top w:val="none" w:sz="0" w:space="0" w:color="auto"/>
        <w:left w:val="none" w:sz="0" w:space="0" w:color="auto"/>
        <w:bottom w:val="none" w:sz="0" w:space="0" w:color="auto"/>
        <w:right w:val="none" w:sz="0" w:space="0" w:color="auto"/>
      </w:divBdr>
    </w:div>
    <w:div w:id="427508438">
      <w:bodyDiv w:val="1"/>
      <w:marLeft w:val="0"/>
      <w:marRight w:val="0"/>
      <w:marTop w:val="0"/>
      <w:marBottom w:val="0"/>
      <w:divBdr>
        <w:top w:val="none" w:sz="0" w:space="0" w:color="auto"/>
        <w:left w:val="none" w:sz="0" w:space="0" w:color="auto"/>
        <w:bottom w:val="none" w:sz="0" w:space="0" w:color="auto"/>
        <w:right w:val="none" w:sz="0" w:space="0" w:color="auto"/>
      </w:divBdr>
    </w:div>
    <w:div w:id="450242523">
      <w:bodyDiv w:val="1"/>
      <w:marLeft w:val="0"/>
      <w:marRight w:val="0"/>
      <w:marTop w:val="0"/>
      <w:marBottom w:val="0"/>
      <w:divBdr>
        <w:top w:val="none" w:sz="0" w:space="0" w:color="auto"/>
        <w:left w:val="none" w:sz="0" w:space="0" w:color="auto"/>
        <w:bottom w:val="none" w:sz="0" w:space="0" w:color="auto"/>
        <w:right w:val="none" w:sz="0" w:space="0" w:color="auto"/>
      </w:divBdr>
    </w:div>
    <w:div w:id="452285758">
      <w:bodyDiv w:val="1"/>
      <w:marLeft w:val="0"/>
      <w:marRight w:val="0"/>
      <w:marTop w:val="0"/>
      <w:marBottom w:val="0"/>
      <w:divBdr>
        <w:top w:val="none" w:sz="0" w:space="0" w:color="auto"/>
        <w:left w:val="none" w:sz="0" w:space="0" w:color="auto"/>
        <w:bottom w:val="none" w:sz="0" w:space="0" w:color="auto"/>
        <w:right w:val="none" w:sz="0" w:space="0" w:color="auto"/>
      </w:divBdr>
    </w:div>
    <w:div w:id="462504950">
      <w:bodyDiv w:val="1"/>
      <w:marLeft w:val="0"/>
      <w:marRight w:val="0"/>
      <w:marTop w:val="0"/>
      <w:marBottom w:val="0"/>
      <w:divBdr>
        <w:top w:val="none" w:sz="0" w:space="0" w:color="auto"/>
        <w:left w:val="none" w:sz="0" w:space="0" w:color="auto"/>
        <w:bottom w:val="none" w:sz="0" w:space="0" w:color="auto"/>
        <w:right w:val="none" w:sz="0" w:space="0" w:color="auto"/>
      </w:divBdr>
    </w:div>
    <w:div w:id="473985689">
      <w:bodyDiv w:val="1"/>
      <w:marLeft w:val="0"/>
      <w:marRight w:val="0"/>
      <w:marTop w:val="0"/>
      <w:marBottom w:val="0"/>
      <w:divBdr>
        <w:top w:val="none" w:sz="0" w:space="0" w:color="auto"/>
        <w:left w:val="none" w:sz="0" w:space="0" w:color="auto"/>
        <w:bottom w:val="none" w:sz="0" w:space="0" w:color="auto"/>
        <w:right w:val="none" w:sz="0" w:space="0" w:color="auto"/>
      </w:divBdr>
    </w:div>
    <w:div w:id="526408689">
      <w:bodyDiv w:val="1"/>
      <w:marLeft w:val="0"/>
      <w:marRight w:val="0"/>
      <w:marTop w:val="0"/>
      <w:marBottom w:val="0"/>
      <w:divBdr>
        <w:top w:val="none" w:sz="0" w:space="0" w:color="auto"/>
        <w:left w:val="none" w:sz="0" w:space="0" w:color="auto"/>
        <w:bottom w:val="none" w:sz="0" w:space="0" w:color="auto"/>
        <w:right w:val="none" w:sz="0" w:space="0" w:color="auto"/>
      </w:divBdr>
    </w:div>
    <w:div w:id="575672976">
      <w:bodyDiv w:val="1"/>
      <w:marLeft w:val="0"/>
      <w:marRight w:val="0"/>
      <w:marTop w:val="0"/>
      <w:marBottom w:val="0"/>
      <w:divBdr>
        <w:top w:val="none" w:sz="0" w:space="0" w:color="auto"/>
        <w:left w:val="none" w:sz="0" w:space="0" w:color="auto"/>
        <w:bottom w:val="none" w:sz="0" w:space="0" w:color="auto"/>
        <w:right w:val="none" w:sz="0" w:space="0" w:color="auto"/>
      </w:divBdr>
    </w:div>
    <w:div w:id="586577634">
      <w:bodyDiv w:val="1"/>
      <w:marLeft w:val="0"/>
      <w:marRight w:val="0"/>
      <w:marTop w:val="0"/>
      <w:marBottom w:val="0"/>
      <w:divBdr>
        <w:top w:val="none" w:sz="0" w:space="0" w:color="auto"/>
        <w:left w:val="none" w:sz="0" w:space="0" w:color="auto"/>
        <w:bottom w:val="none" w:sz="0" w:space="0" w:color="auto"/>
        <w:right w:val="none" w:sz="0" w:space="0" w:color="auto"/>
      </w:divBdr>
    </w:div>
    <w:div w:id="591940373">
      <w:bodyDiv w:val="1"/>
      <w:marLeft w:val="0"/>
      <w:marRight w:val="0"/>
      <w:marTop w:val="0"/>
      <w:marBottom w:val="0"/>
      <w:divBdr>
        <w:top w:val="none" w:sz="0" w:space="0" w:color="auto"/>
        <w:left w:val="none" w:sz="0" w:space="0" w:color="auto"/>
        <w:bottom w:val="none" w:sz="0" w:space="0" w:color="auto"/>
        <w:right w:val="none" w:sz="0" w:space="0" w:color="auto"/>
      </w:divBdr>
    </w:div>
    <w:div w:id="592204378">
      <w:bodyDiv w:val="1"/>
      <w:marLeft w:val="0"/>
      <w:marRight w:val="0"/>
      <w:marTop w:val="0"/>
      <w:marBottom w:val="0"/>
      <w:divBdr>
        <w:top w:val="none" w:sz="0" w:space="0" w:color="auto"/>
        <w:left w:val="none" w:sz="0" w:space="0" w:color="auto"/>
        <w:bottom w:val="none" w:sz="0" w:space="0" w:color="auto"/>
        <w:right w:val="none" w:sz="0" w:space="0" w:color="auto"/>
      </w:divBdr>
    </w:div>
    <w:div w:id="601452363">
      <w:bodyDiv w:val="1"/>
      <w:marLeft w:val="0"/>
      <w:marRight w:val="0"/>
      <w:marTop w:val="0"/>
      <w:marBottom w:val="0"/>
      <w:divBdr>
        <w:top w:val="none" w:sz="0" w:space="0" w:color="auto"/>
        <w:left w:val="none" w:sz="0" w:space="0" w:color="auto"/>
        <w:bottom w:val="none" w:sz="0" w:space="0" w:color="auto"/>
        <w:right w:val="none" w:sz="0" w:space="0" w:color="auto"/>
      </w:divBdr>
    </w:div>
    <w:div w:id="620067623">
      <w:bodyDiv w:val="1"/>
      <w:marLeft w:val="0"/>
      <w:marRight w:val="0"/>
      <w:marTop w:val="0"/>
      <w:marBottom w:val="0"/>
      <w:divBdr>
        <w:top w:val="none" w:sz="0" w:space="0" w:color="auto"/>
        <w:left w:val="none" w:sz="0" w:space="0" w:color="auto"/>
        <w:bottom w:val="none" w:sz="0" w:space="0" w:color="auto"/>
        <w:right w:val="none" w:sz="0" w:space="0" w:color="auto"/>
      </w:divBdr>
    </w:div>
    <w:div w:id="624432288">
      <w:bodyDiv w:val="1"/>
      <w:marLeft w:val="0"/>
      <w:marRight w:val="0"/>
      <w:marTop w:val="0"/>
      <w:marBottom w:val="0"/>
      <w:divBdr>
        <w:top w:val="none" w:sz="0" w:space="0" w:color="auto"/>
        <w:left w:val="none" w:sz="0" w:space="0" w:color="auto"/>
        <w:bottom w:val="none" w:sz="0" w:space="0" w:color="auto"/>
        <w:right w:val="none" w:sz="0" w:space="0" w:color="auto"/>
      </w:divBdr>
    </w:div>
    <w:div w:id="624578379">
      <w:bodyDiv w:val="1"/>
      <w:marLeft w:val="0"/>
      <w:marRight w:val="0"/>
      <w:marTop w:val="0"/>
      <w:marBottom w:val="0"/>
      <w:divBdr>
        <w:top w:val="none" w:sz="0" w:space="0" w:color="auto"/>
        <w:left w:val="none" w:sz="0" w:space="0" w:color="auto"/>
        <w:bottom w:val="none" w:sz="0" w:space="0" w:color="auto"/>
        <w:right w:val="none" w:sz="0" w:space="0" w:color="auto"/>
      </w:divBdr>
    </w:div>
    <w:div w:id="668949868">
      <w:bodyDiv w:val="1"/>
      <w:marLeft w:val="0"/>
      <w:marRight w:val="0"/>
      <w:marTop w:val="0"/>
      <w:marBottom w:val="0"/>
      <w:divBdr>
        <w:top w:val="none" w:sz="0" w:space="0" w:color="auto"/>
        <w:left w:val="none" w:sz="0" w:space="0" w:color="auto"/>
        <w:bottom w:val="none" w:sz="0" w:space="0" w:color="auto"/>
        <w:right w:val="none" w:sz="0" w:space="0" w:color="auto"/>
      </w:divBdr>
    </w:div>
    <w:div w:id="670916978">
      <w:bodyDiv w:val="1"/>
      <w:marLeft w:val="0"/>
      <w:marRight w:val="0"/>
      <w:marTop w:val="0"/>
      <w:marBottom w:val="0"/>
      <w:divBdr>
        <w:top w:val="none" w:sz="0" w:space="0" w:color="auto"/>
        <w:left w:val="none" w:sz="0" w:space="0" w:color="auto"/>
        <w:bottom w:val="none" w:sz="0" w:space="0" w:color="auto"/>
        <w:right w:val="none" w:sz="0" w:space="0" w:color="auto"/>
      </w:divBdr>
    </w:div>
    <w:div w:id="720791247">
      <w:bodyDiv w:val="1"/>
      <w:marLeft w:val="0"/>
      <w:marRight w:val="0"/>
      <w:marTop w:val="0"/>
      <w:marBottom w:val="0"/>
      <w:divBdr>
        <w:top w:val="none" w:sz="0" w:space="0" w:color="auto"/>
        <w:left w:val="none" w:sz="0" w:space="0" w:color="auto"/>
        <w:bottom w:val="none" w:sz="0" w:space="0" w:color="auto"/>
        <w:right w:val="none" w:sz="0" w:space="0" w:color="auto"/>
      </w:divBdr>
    </w:div>
    <w:div w:id="740451025">
      <w:bodyDiv w:val="1"/>
      <w:marLeft w:val="0"/>
      <w:marRight w:val="0"/>
      <w:marTop w:val="0"/>
      <w:marBottom w:val="0"/>
      <w:divBdr>
        <w:top w:val="none" w:sz="0" w:space="0" w:color="auto"/>
        <w:left w:val="none" w:sz="0" w:space="0" w:color="auto"/>
        <w:bottom w:val="none" w:sz="0" w:space="0" w:color="auto"/>
        <w:right w:val="none" w:sz="0" w:space="0" w:color="auto"/>
      </w:divBdr>
    </w:div>
    <w:div w:id="809058748">
      <w:bodyDiv w:val="1"/>
      <w:marLeft w:val="0"/>
      <w:marRight w:val="0"/>
      <w:marTop w:val="0"/>
      <w:marBottom w:val="0"/>
      <w:divBdr>
        <w:top w:val="none" w:sz="0" w:space="0" w:color="auto"/>
        <w:left w:val="none" w:sz="0" w:space="0" w:color="auto"/>
        <w:bottom w:val="none" w:sz="0" w:space="0" w:color="auto"/>
        <w:right w:val="none" w:sz="0" w:space="0" w:color="auto"/>
      </w:divBdr>
    </w:div>
    <w:div w:id="816072151">
      <w:bodyDiv w:val="1"/>
      <w:marLeft w:val="0"/>
      <w:marRight w:val="0"/>
      <w:marTop w:val="0"/>
      <w:marBottom w:val="0"/>
      <w:divBdr>
        <w:top w:val="none" w:sz="0" w:space="0" w:color="auto"/>
        <w:left w:val="none" w:sz="0" w:space="0" w:color="auto"/>
        <w:bottom w:val="none" w:sz="0" w:space="0" w:color="auto"/>
        <w:right w:val="none" w:sz="0" w:space="0" w:color="auto"/>
      </w:divBdr>
    </w:div>
    <w:div w:id="832601439">
      <w:bodyDiv w:val="1"/>
      <w:marLeft w:val="0"/>
      <w:marRight w:val="0"/>
      <w:marTop w:val="0"/>
      <w:marBottom w:val="0"/>
      <w:divBdr>
        <w:top w:val="none" w:sz="0" w:space="0" w:color="auto"/>
        <w:left w:val="none" w:sz="0" w:space="0" w:color="auto"/>
        <w:bottom w:val="none" w:sz="0" w:space="0" w:color="auto"/>
        <w:right w:val="none" w:sz="0" w:space="0" w:color="auto"/>
      </w:divBdr>
    </w:div>
    <w:div w:id="859510358">
      <w:bodyDiv w:val="1"/>
      <w:marLeft w:val="0"/>
      <w:marRight w:val="0"/>
      <w:marTop w:val="0"/>
      <w:marBottom w:val="0"/>
      <w:divBdr>
        <w:top w:val="none" w:sz="0" w:space="0" w:color="auto"/>
        <w:left w:val="none" w:sz="0" w:space="0" w:color="auto"/>
        <w:bottom w:val="none" w:sz="0" w:space="0" w:color="auto"/>
        <w:right w:val="none" w:sz="0" w:space="0" w:color="auto"/>
      </w:divBdr>
    </w:div>
    <w:div w:id="900941141">
      <w:bodyDiv w:val="1"/>
      <w:marLeft w:val="0"/>
      <w:marRight w:val="0"/>
      <w:marTop w:val="0"/>
      <w:marBottom w:val="0"/>
      <w:divBdr>
        <w:top w:val="none" w:sz="0" w:space="0" w:color="auto"/>
        <w:left w:val="none" w:sz="0" w:space="0" w:color="auto"/>
        <w:bottom w:val="none" w:sz="0" w:space="0" w:color="auto"/>
        <w:right w:val="none" w:sz="0" w:space="0" w:color="auto"/>
      </w:divBdr>
    </w:div>
    <w:div w:id="927037821">
      <w:bodyDiv w:val="1"/>
      <w:marLeft w:val="0"/>
      <w:marRight w:val="0"/>
      <w:marTop w:val="0"/>
      <w:marBottom w:val="0"/>
      <w:divBdr>
        <w:top w:val="none" w:sz="0" w:space="0" w:color="auto"/>
        <w:left w:val="none" w:sz="0" w:space="0" w:color="auto"/>
        <w:bottom w:val="none" w:sz="0" w:space="0" w:color="auto"/>
        <w:right w:val="none" w:sz="0" w:space="0" w:color="auto"/>
      </w:divBdr>
    </w:div>
    <w:div w:id="951401977">
      <w:bodyDiv w:val="1"/>
      <w:marLeft w:val="0"/>
      <w:marRight w:val="0"/>
      <w:marTop w:val="0"/>
      <w:marBottom w:val="0"/>
      <w:divBdr>
        <w:top w:val="none" w:sz="0" w:space="0" w:color="auto"/>
        <w:left w:val="none" w:sz="0" w:space="0" w:color="auto"/>
        <w:bottom w:val="none" w:sz="0" w:space="0" w:color="auto"/>
        <w:right w:val="none" w:sz="0" w:space="0" w:color="auto"/>
      </w:divBdr>
    </w:div>
    <w:div w:id="978261387">
      <w:bodyDiv w:val="1"/>
      <w:marLeft w:val="0"/>
      <w:marRight w:val="0"/>
      <w:marTop w:val="0"/>
      <w:marBottom w:val="0"/>
      <w:divBdr>
        <w:top w:val="none" w:sz="0" w:space="0" w:color="auto"/>
        <w:left w:val="none" w:sz="0" w:space="0" w:color="auto"/>
        <w:bottom w:val="none" w:sz="0" w:space="0" w:color="auto"/>
        <w:right w:val="none" w:sz="0" w:space="0" w:color="auto"/>
      </w:divBdr>
    </w:div>
    <w:div w:id="1004940753">
      <w:bodyDiv w:val="1"/>
      <w:marLeft w:val="0"/>
      <w:marRight w:val="0"/>
      <w:marTop w:val="0"/>
      <w:marBottom w:val="0"/>
      <w:divBdr>
        <w:top w:val="none" w:sz="0" w:space="0" w:color="auto"/>
        <w:left w:val="none" w:sz="0" w:space="0" w:color="auto"/>
        <w:bottom w:val="none" w:sz="0" w:space="0" w:color="auto"/>
        <w:right w:val="none" w:sz="0" w:space="0" w:color="auto"/>
      </w:divBdr>
      <w:divsChild>
        <w:div w:id="2092194754">
          <w:marLeft w:val="0"/>
          <w:marRight w:val="0"/>
          <w:marTop w:val="0"/>
          <w:marBottom w:val="0"/>
          <w:divBdr>
            <w:top w:val="none" w:sz="0" w:space="0" w:color="auto"/>
            <w:left w:val="none" w:sz="0" w:space="0" w:color="auto"/>
            <w:bottom w:val="none" w:sz="0" w:space="0" w:color="auto"/>
            <w:right w:val="none" w:sz="0" w:space="0" w:color="auto"/>
          </w:divBdr>
        </w:div>
      </w:divsChild>
    </w:div>
    <w:div w:id="1053696670">
      <w:bodyDiv w:val="1"/>
      <w:marLeft w:val="0"/>
      <w:marRight w:val="0"/>
      <w:marTop w:val="0"/>
      <w:marBottom w:val="0"/>
      <w:divBdr>
        <w:top w:val="none" w:sz="0" w:space="0" w:color="auto"/>
        <w:left w:val="none" w:sz="0" w:space="0" w:color="auto"/>
        <w:bottom w:val="none" w:sz="0" w:space="0" w:color="auto"/>
        <w:right w:val="none" w:sz="0" w:space="0" w:color="auto"/>
      </w:divBdr>
    </w:div>
    <w:div w:id="1158109343">
      <w:bodyDiv w:val="1"/>
      <w:marLeft w:val="0"/>
      <w:marRight w:val="0"/>
      <w:marTop w:val="0"/>
      <w:marBottom w:val="0"/>
      <w:divBdr>
        <w:top w:val="none" w:sz="0" w:space="0" w:color="auto"/>
        <w:left w:val="none" w:sz="0" w:space="0" w:color="auto"/>
        <w:bottom w:val="none" w:sz="0" w:space="0" w:color="auto"/>
        <w:right w:val="none" w:sz="0" w:space="0" w:color="auto"/>
      </w:divBdr>
    </w:div>
    <w:div w:id="1243299361">
      <w:bodyDiv w:val="1"/>
      <w:marLeft w:val="0"/>
      <w:marRight w:val="0"/>
      <w:marTop w:val="0"/>
      <w:marBottom w:val="0"/>
      <w:divBdr>
        <w:top w:val="none" w:sz="0" w:space="0" w:color="auto"/>
        <w:left w:val="none" w:sz="0" w:space="0" w:color="auto"/>
        <w:bottom w:val="none" w:sz="0" w:space="0" w:color="auto"/>
        <w:right w:val="none" w:sz="0" w:space="0" w:color="auto"/>
      </w:divBdr>
    </w:div>
    <w:div w:id="1244880009">
      <w:bodyDiv w:val="1"/>
      <w:marLeft w:val="0"/>
      <w:marRight w:val="0"/>
      <w:marTop w:val="0"/>
      <w:marBottom w:val="0"/>
      <w:divBdr>
        <w:top w:val="none" w:sz="0" w:space="0" w:color="auto"/>
        <w:left w:val="none" w:sz="0" w:space="0" w:color="auto"/>
        <w:bottom w:val="none" w:sz="0" w:space="0" w:color="auto"/>
        <w:right w:val="none" w:sz="0" w:space="0" w:color="auto"/>
      </w:divBdr>
    </w:div>
    <w:div w:id="1261991141">
      <w:bodyDiv w:val="1"/>
      <w:marLeft w:val="0"/>
      <w:marRight w:val="0"/>
      <w:marTop w:val="0"/>
      <w:marBottom w:val="0"/>
      <w:divBdr>
        <w:top w:val="none" w:sz="0" w:space="0" w:color="auto"/>
        <w:left w:val="none" w:sz="0" w:space="0" w:color="auto"/>
        <w:bottom w:val="none" w:sz="0" w:space="0" w:color="auto"/>
        <w:right w:val="none" w:sz="0" w:space="0" w:color="auto"/>
      </w:divBdr>
    </w:div>
    <w:div w:id="1282104375">
      <w:bodyDiv w:val="1"/>
      <w:marLeft w:val="0"/>
      <w:marRight w:val="0"/>
      <w:marTop w:val="0"/>
      <w:marBottom w:val="0"/>
      <w:divBdr>
        <w:top w:val="none" w:sz="0" w:space="0" w:color="auto"/>
        <w:left w:val="none" w:sz="0" w:space="0" w:color="auto"/>
        <w:bottom w:val="none" w:sz="0" w:space="0" w:color="auto"/>
        <w:right w:val="none" w:sz="0" w:space="0" w:color="auto"/>
      </w:divBdr>
    </w:div>
    <w:div w:id="1317804756">
      <w:bodyDiv w:val="1"/>
      <w:marLeft w:val="0"/>
      <w:marRight w:val="0"/>
      <w:marTop w:val="0"/>
      <w:marBottom w:val="0"/>
      <w:divBdr>
        <w:top w:val="none" w:sz="0" w:space="0" w:color="auto"/>
        <w:left w:val="none" w:sz="0" w:space="0" w:color="auto"/>
        <w:bottom w:val="none" w:sz="0" w:space="0" w:color="auto"/>
        <w:right w:val="none" w:sz="0" w:space="0" w:color="auto"/>
      </w:divBdr>
    </w:div>
    <w:div w:id="1321541951">
      <w:bodyDiv w:val="1"/>
      <w:marLeft w:val="0"/>
      <w:marRight w:val="0"/>
      <w:marTop w:val="0"/>
      <w:marBottom w:val="0"/>
      <w:divBdr>
        <w:top w:val="none" w:sz="0" w:space="0" w:color="auto"/>
        <w:left w:val="none" w:sz="0" w:space="0" w:color="auto"/>
        <w:bottom w:val="none" w:sz="0" w:space="0" w:color="auto"/>
        <w:right w:val="none" w:sz="0" w:space="0" w:color="auto"/>
      </w:divBdr>
    </w:div>
    <w:div w:id="1324048147">
      <w:bodyDiv w:val="1"/>
      <w:marLeft w:val="0"/>
      <w:marRight w:val="0"/>
      <w:marTop w:val="0"/>
      <w:marBottom w:val="0"/>
      <w:divBdr>
        <w:top w:val="none" w:sz="0" w:space="0" w:color="auto"/>
        <w:left w:val="none" w:sz="0" w:space="0" w:color="auto"/>
        <w:bottom w:val="none" w:sz="0" w:space="0" w:color="auto"/>
        <w:right w:val="none" w:sz="0" w:space="0" w:color="auto"/>
      </w:divBdr>
    </w:div>
    <w:div w:id="1360232148">
      <w:bodyDiv w:val="1"/>
      <w:marLeft w:val="0"/>
      <w:marRight w:val="0"/>
      <w:marTop w:val="0"/>
      <w:marBottom w:val="0"/>
      <w:divBdr>
        <w:top w:val="none" w:sz="0" w:space="0" w:color="auto"/>
        <w:left w:val="none" w:sz="0" w:space="0" w:color="auto"/>
        <w:bottom w:val="none" w:sz="0" w:space="0" w:color="auto"/>
        <w:right w:val="none" w:sz="0" w:space="0" w:color="auto"/>
      </w:divBdr>
    </w:div>
    <w:div w:id="1447852644">
      <w:bodyDiv w:val="1"/>
      <w:marLeft w:val="0"/>
      <w:marRight w:val="0"/>
      <w:marTop w:val="0"/>
      <w:marBottom w:val="0"/>
      <w:divBdr>
        <w:top w:val="none" w:sz="0" w:space="0" w:color="auto"/>
        <w:left w:val="none" w:sz="0" w:space="0" w:color="auto"/>
        <w:bottom w:val="none" w:sz="0" w:space="0" w:color="auto"/>
        <w:right w:val="none" w:sz="0" w:space="0" w:color="auto"/>
      </w:divBdr>
    </w:div>
    <w:div w:id="1471285953">
      <w:bodyDiv w:val="1"/>
      <w:marLeft w:val="0"/>
      <w:marRight w:val="0"/>
      <w:marTop w:val="0"/>
      <w:marBottom w:val="0"/>
      <w:divBdr>
        <w:top w:val="none" w:sz="0" w:space="0" w:color="auto"/>
        <w:left w:val="none" w:sz="0" w:space="0" w:color="auto"/>
        <w:bottom w:val="none" w:sz="0" w:space="0" w:color="auto"/>
        <w:right w:val="none" w:sz="0" w:space="0" w:color="auto"/>
      </w:divBdr>
    </w:div>
    <w:div w:id="1512721532">
      <w:bodyDiv w:val="1"/>
      <w:marLeft w:val="0"/>
      <w:marRight w:val="0"/>
      <w:marTop w:val="0"/>
      <w:marBottom w:val="0"/>
      <w:divBdr>
        <w:top w:val="none" w:sz="0" w:space="0" w:color="auto"/>
        <w:left w:val="none" w:sz="0" w:space="0" w:color="auto"/>
        <w:bottom w:val="none" w:sz="0" w:space="0" w:color="auto"/>
        <w:right w:val="none" w:sz="0" w:space="0" w:color="auto"/>
      </w:divBdr>
    </w:div>
    <w:div w:id="1513254767">
      <w:bodyDiv w:val="1"/>
      <w:marLeft w:val="0"/>
      <w:marRight w:val="0"/>
      <w:marTop w:val="0"/>
      <w:marBottom w:val="0"/>
      <w:divBdr>
        <w:top w:val="none" w:sz="0" w:space="0" w:color="auto"/>
        <w:left w:val="none" w:sz="0" w:space="0" w:color="auto"/>
        <w:bottom w:val="none" w:sz="0" w:space="0" w:color="auto"/>
        <w:right w:val="none" w:sz="0" w:space="0" w:color="auto"/>
      </w:divBdr>
    </w:div>
    <w:div w:id="1518929362">
      <w:bodyDiv w:val="1"/>
      <w:marLeft w:val="0"/>
      <w:marRight w:val="0"/>
      <w:marTop w:val="0"/>
      <w:marBottom w:val="0"/>
      <w:divBdr>
        <w:top w:val="none" w:sz="0" w:space="0" w:color="auto"/>
        <w:left w:val="none" w:sz="0" w:space="0" w:color="auto"/>
        <w:bottom w:val="none" w:sz="0" w:space="0" w:color="auto"/>
        <w:right w:val="none" w:sz="0" w:space="0" w:color="auto"/>
      </w:divBdr>
    </w:div>
    <w:div w:id="1529443356">
      <w:bodyDiv w:val="1"/>
      <w:marLeft w:val="0"/>
      <w:marRight w:val="0"/>
      <w:marTop w:val="0"/>
      <w:marBottom w:val="0"/>
      <w:divBdr>
        <w:top w:val="none" w:sz="0" w:space="0" w:color="auto"/>
        <w:left w:val="none" w:sz="0" w:space="0" w:color="auto"/>
        <w:bottom w:val="none" w:sz="0" w:space="0" w:color="auto"/>
        <w:right w:val="none" w:sz="0" w:space="0" w:color="auto"/>
      </w:divBdr>
    </w:div>
    <w:div w:id="1544557383">
      <w:bodyDiv w:val="1"/>
      <w:marLeft w:val="0"/>
      <w:marRight w:val="0"/>
      <w:marTop w:val="0"/>
      <w:marBottom w:val="0"/>
      <w:divBdr>
        <w:top w:val="none" w:sz="0" w:space="0" w:color="auto"/>
        <w:left w:val="none" w:sz="0" w:space="0" w:color="auto"/>
        <w:bottom w:val="none" w:sz="0" w:space="0" w:color="auto"/>
        <w:right w:val="none" w:sz="0" w:space="0" w:color="auto"/>
      </w:divBdr>
    </w:div>
    <w:div w:id="1563372222">
      <w:bodyDiv w:val="1"/>
      <w:marLeft w:val="0"/>
      <w:marRight w:val="0"/>
      <w:marTop w:val="0"/>
      <w:marBottom w:val="0"/>
      <w:divBdr>
        <w:top w:val="none" w:sz="0" w:space="0" w:color="auto"/>
        <w:left w:val="none" w:sz="0" w:space="0" w:color="auto"/>
        <w:bottom w:val="none" w:sz="0" w:space="0" w:color="auto"/>
        <w:right w:val="none" w:sz="0" w:space="0" w:color="auto"/>
      </w:divBdr>
    </w:div>
    <w:div w:id="1648049549">
      <w:bodyDiv w:val="1"/>
      <w:marLeft w:val="0"/>
      <w:marRight w:val="0"/>
      <w:marTop w:val="0"/>
      <w:marBottom w:val="0"/>
      <w:divBdr>
        <w:top w:val="none" w:sz="0" w:space="0" w:color="auto"/>
        <w:left w:val="none" w:sz="0" w:space="0" w:color="auto"/>
        <w:bottom w:val="none" w:sz="0" w:space="0" w:color="auto"/>
        <w:right w:val="none" w:sz="0" w:space="0" w:color="auto"/>
      </w:divBdr>
    </w:div>
    <w:div w:id="1717392194">
      <w:bodyDiv w:val="1"/>
      <w:marLeft w:val="0"/>
      <w:marRight w:val="0"/>
      <w:marTop w:val="0"/>
      <w:marBottom w:val="0"/>
      <w:divBdr>
        <w:top w:val="none" w:sz="0" w:space="0" w:color="auto"/>
        <w:left w:val="none" w:sz="0" w:space="0" w:color="auto"/>
        <w:bottom w:val="none" w:sz="0" w:space="0" w:color="auto"/>
        <w:right w:val="none" w:sz="0" w:space="0" w:color="auto"/>
      </w:divBdr>
    </w:div>
    <w:div w:id="1747920005">
      <w:bodyDiv w:val="1"/>
      <w:marLeft w:val="0"/>
      <w:marRight w:val="0"/>
      <w:marTop w:val="0"/>
      <w:marBottom w:val="0"/>
      <w:divBdr>
        <w:top w:val="none" w:sz="0" w:space="0" w:color="auto"/>
        <w:left w:val="none" w:sz="0" w:space="0" w:color="auto"/>
        <w:bottom w:val="none" w:sz="0" w:space="0" w:color="auto"/>
        <w:right w:val="none" w:sz="0" w:space="0" w:color="auto"/>
      </w:divBdr>
    </w:div>
    <w:div w:id="1757283546">
      <w:bodyDiv w:val="1"/>
      <w:marLeft w:val="0"/>
      <w:marRight w:val="0"/>
      <w:marTop w:val="0"/>
      <w:marBottom w:val="0"/>
      <w:divBdr>
        <w:top w:val="none" w:sz="0" w:space="0" w:color="auto"/>
        <w:left w:val="none" w:sz="0" w:space="0" w:color="auto"/>
        <w:bottom w:val="none" w:sz="0" w:space="0" w:color="auto"/>
        <w:right w:val="none" w:sz="0" w:space="0" w:color="auto"/>
      </w:divBdr>
    </w:div>
    <w:div w:id="1773235343">
      <w:bodyDiv w:val="1"/>
      <w:marLeft w:val="0"/>
      <w:marRight w:val="0"/>
      <w:marTop w:val="0"/>
      <w:marBottom w:val="0"/>
      <w:divBdr>
        <w:top w:val="none" w:sz="0" w:space="0" w:color="auto"/>
        <w:left w:val="none" w:sz="0" w:space="0" w:color="auto"/>
        <w:bottom w:val="none" w:sz="0" w:space="0" w:color="auto"/>
        <w:right w:val="none" w:sz="0" w:space="0" w:color="auto"/>
      </w:divBdr>
    </w:div>
    <w:div w:id="1781874133">
      <w:bodyDiv w:val="1"/>
      <w:marLeft w:val="0"/>
      <w:marRight w:val="0"/>
      <w:marTop w:val="0"/>
      <w:marBottom w:val="0"/>
      <w:divBdr>
        <w:top w:val="none" w:sz="0" w:space="0" w:color="auto"/>
        <w:left w:val="none" w:sz="0" w:space="0" w:color="auto"/>
        <w:bottom w:val="none" w:sz="0" w:space="0" w:color="auto"/>
        <w:right w:val="none" w:sz="0" w:space="0" w:color="auto"/>
      </w:divBdr>
    </w:div>
    <w:div w:id="1818373244">
      <w:bodyDiv w:val="1"/>
      <w:marLeft w:val="0"/>
      <w:marRight w:val="0"/>
      <w:marTop w:val="0"/>
      <w:marBottom w:val="0"/>
      <w:divBdr>
        <w:top w:val="none" w:sz="0" w:space="0" w:color="auto"/>
        <w:left w:val="none" w:sz="0" w:space="0" w:color="auto"/>
        <w:bottom w:val="none" w:sz="0" w:space="0" w:color="auto"/>
        <w:right w:val="none" w:sz="0" w:space="0" w:color="auto"/>
      </w:divBdr>
    </w:div>
    <w:div w:id="1836799019">
      <w:bodyDiv w:val="1"/>
      <w:marLeft w:val="0"/>
      <w:marRight w:val="0"/>
      <w:marTop w:val="0"/>
      <w:marBottom w:val="0"/>
      <w:divBdr>
        <w:top w:val="none" w:sz="0" w:space="0" w:color="auto"/>
        <w:left w:val="none" w:sz="0" w:space="0" w:color="auto"/>
        <w:bottom w:val="none" w:sz="0" w:space="0" w:color="auto"/>
        <w:right w:val="none" w:sz="0" w:space="0" w:color="auto"/>
      </w:divBdr>
    </w:div>
    <w:div w:id="1841889941">
      <w:bodyDiv w:val="1"/>
      <w:marLeft w:val="0"/>
      <w:marRight w:val="0"/>
      <w:marTop w:val="0"/>
      <w:marBottom w:val="0"/>
      <w:divBdr>
        <w:top w:val="none" w:sz="0" w:space="0" w:color="auto"/>
        <w:left w:val="none" w:sz="0" w:space="0" w:color="auto"/>
        <w:bottom w:val="none" w:sz="0" w:space="0" w:color="auto"/>
        <w:right w:val="none" w:sz="0" w:space="0" w:color="auto"/>
      </w:divBdr>
    </w:div>
    <w:div w:id="1859999818">
      <w:bodyDiv w:val="1"/>
      <w:marLeft w:val="0"/>
      <w:marRight w:val="0"/>
      <w:marTop w:val="0"/>
      <w:marBottom w:val="0"/>
      <w:divBdr>
        <w:top w:val="none" w:sz="0" w:space="0" w:color="auto"/>
        <w:left w:val="none" w:sz="0" w:space="0" w:color="auto"/>
        <w:bottom w:val="none" w:sz="0" w:space="0" w:color="auto"/>
        <w:right w:val="none" w:sz="0" w:space="0" w:color="auto"/>
      </w:divBdr>
    </w:div>
    <w:div w:id="1863585504">
      <w:bodyDiv w:val="1"/>
      <w:marLeft w:val="0"/>
      <w:marRight w:val="0"/>
      <w:marTop w:val="0"/>
      <w:marBottom w:val="0"/>
      <w:divBdr>
        <w:top w:val="none" w:sz="0" w:space="0" w:color="auto"/>
        <w:left w:val="none" w:sz="0" w:space="0" w:color="auto"/>
        <w:bottom w:val="none" w:sz="0" w:space="0" w:color="auto"/>
        <w:right w:val="none" w:sz="0" w:space="0" w:color="auto"/>
      </w:divBdr>
    </w:div>
    <w:div w:id="1940798607">
      <w:bodyDiv w:val="1"/>
      <w:marLeft w:val="0"/>
      <w:marRight w:val="0"/>
      <w:marTop w:val="0"/>
      <w:marBottom w:val="0"/>
      <w:divBdr>
        <w:top w:val="none" w:sz="0" w:space="0" w:color="auto"/>
        <w:left w:val="none" w:sz="0" w:space="0" w:color="auto"/>
        <w:bottom w:val="none" w:sz="0" w:space="0" w:color="auto"/>
        <w:right w:val="none" w:sz="0" w:space="0" w:color="auto"/>
      </w:divBdr>
    </w:div>
    <w:div w:id="2005276971">
      <w:bodyDiv w:val="1"/>
      <w:marLeft w:val="0"/>
      <w:marRight w:val="0"/>
      <w:marTop w:val="0"/>
      <w:marBottom w:val="0"/>
      <w:divBdr>
        <w:top w:val="none" w:sz="0" w:space="0" w:color="auto"/>
        <w:left w:val="none" w:sz="0" w:space="0" w:color="auto"/>
        <w:bottom w:val="none" w:sz="0" w:space="0" w:color="auto"/>
        <w:right w:val="none" w:sz="0" w:space="0" w:color="auto"/>
      </w:divBdr>
    </w:div>
    <w:div w:id="2005934743">
      <w:bodyDiv w:val="1"/>
      <w:marLeft w:val="0"/>
      <w:marRight w:val="0"/>
      <w:marTop w:val="0"/>
      <w:marBottom w:val="0"/>
      <w:divBdr>
        <w:top w:val="none" w:sz="0" w:space="0" w:color="auto"/>
        <w:left w:val="none" w:sz="0" w:space="0" w:color="auto"/>
        <w:bottom w:val="none" w:sz="0" w:space="0" w:color="auto"/>
        <w:right w:val="none" w:sz="0" w:space="0" w:color="auto"/>
      </w:divBdr>
    </w:div>
    <w:div w:id="2006281131">
      <w:bodyDiv w:val="1"/>
      <w:marLeft w:val="0"/>
      <w:marRight w:val="0"/>
      <w:marTop w:val="0"/>
      <w:marBottom w:val="0"/>
      <w:divBdr>
        <w:top w:val="none" w:sz="0" w:space="0" w:color="auto"/>
        <w:left w:val="none" w:sz="0" w:space="0" w:color="auto"/>
        <w:bottom w:val="none" w:sz="0" w:space="0" w:color="auto"/>
        <w:right w:val="none" w:sz="0" w:space="0" w:color="auto"/>
      </w:divBdr>
    </w:div>
    <w:div w:id="2102213243">
      <w:bodyDiv w:val="1"/>
      <w:marLeft w:val="0"/>
      <w:marRight w:val="0"/>
      <w:marTop w:val="0"/>
      <w:marBottom w:val="0"/>
      <w:divBdr>
        <w:top w:val="none" w:sz="0" w:space="0" w:color="auto"/>
        <w:left w:val="none" w:sz="0" w:space="0" w:color="auto"/>
        <w:bottom w:val="none" w:sz="0" w:space="0" w:color="auto"/>
        <w:right w:val="none" w:sz="0" w:space="0" w:color="auto"/>
      </w:divBdr>
    </w:div>
    <w:div w:id="2106605916">
      <w:bodyDiv w:val="1"/>
      <w:marLeft w:val="0"/>
      <w:marRight w:val="0"/>
      <w:marTop w:val="0"/>
      <w:marBottom w:val="0"/>
      <w:divBdr>
        <w:top w:val="none" w:sz="0" w:space="0" w:color="auto"/>
        <w:left w:val="none" w:sz="0" w:space="0" w:color="auto"/>
        <w:bottom w:val="none" w:sz="0" w:space="0" w:color="auto"/>
        <w:right w:val="none" w:sz="0" w:space="0" w:color="auto"/>
      </w:divBdr>
    </w:div>
    <w:div w:id="21389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3" Type="http://schemas.openxmlformats.org/officeDocument/2006/relationships/hyperlink" Target="http://www.saludyfarmacos.org/lang/en/boletin-farmacos/boletines/feb2013/publicidad-de-medicamentos-automedicacin-y-tica-farmacutica-una-trada-farmacutica/" TargetMode="External"/><Relationship Id="rId2" Type="http://schemas.openxmlformats.org/officeDocument/2006/relationships/hyperlink" Target="https://www.agenciacyta.org.ar/2008/08/la-publicidad-potencia-la-automedicacion/" TargetMode="External"/><Relationship Id="rId1" Type="http://schemas.openxmlformats.org/officeDocument/2006/relationships/hyperlink" Target="http://www.todoesciencia.gov.co/farmaceuticas-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f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Obs19</b:Tag>
    <b:SourceType>InternetSite</b:SourceType>
    <b:Guid>{5D31F4EC-B004-4908-8E9D-6E75B9795739}</b:Guid>
    <b:Title>OCAM</b:Title>
    <b:Year>2019</b:Year>
    <b:Author>
      <b:Author>
        <b:Corporate>Observatorio del Comportamiento de Automedicación</b:Corporate>
      </b:Author>
    </b:Author>
    <b:Month>6</b:Month>
    <b:Day>4</b:Day>
    <b:URL>https://www.urosario.edu.co/Observatorio-del-Comportamiento-de-Automedicacion/Inicio/</b:URL>
    <b:RefOrder>1</b:RefOrder>
  </b:Source>
  <b:Source>
    <b:Tag>And15</b:Tag>
    <b:SourceType>InternetSite</b:SourceType>
    <b:Guid>{EC987D52-4E1B-4223-8523-96C26B1F6323}</b:Guid>
    <b:Author>
      <b:Author>
        <b:NameList>
          <b:Person>
            <b:Last>Pérez</b:Last>
            <b:First>Andrés</b:First>
            <b:Middle>Manuel</b:Middle>
          </b:Person>
        </b:NameList>
      </b:Author>
    </b:Author>
    <b:Title>Nova Et Vetera</b:Title>
    <b:Year>2015</b:Year>
    <b:Month>12</b:Month>
    <b:Day>11</b:Day>
    <b:URL>https://www.urosario.edu.co/revista-nova-et-vetera/Inicio/Omnia/Las-formas-contemporaneas-de-la-automedicacion-irr/</b:URL>
    <b:RefOrder>2</b:RefOrder>
  </b:Source>
  <b:Source>
    <b:Tag>Áng111</b:Tag>
    <b:SourceType>JournalArticle</b:SourceType>
    <b:Guid>{13B39C40-5793-41C5-9DDD-49DECEA25BB4}</b:Guid>
    <b:Title>Automedicación y términos relacionados: una reflexión conceptual</b:Title>
    <b:Year>2011</b:Year>
    <b:Author>
      <b:Author>
        <b:NameList>
          <b:Person>
            <b:Last>Ángela Ruiz</b:Last>
            <b:First>M.D.</b:First>
          </b:Person>
          <b:Person>
            <b:Last>Andrés Pérez</b:Last>
            <b:First>Ph.D.</b:First>
          </b:Person>
        </b:NameList>
      </b:Author>
    </b:Author>
    <b:JournalName>Revista Ciencias de la Salud</b:JournalName>
    <b:Pages>83-97</b:Pages>
    <b:RefOrder>3</b:RefOrder>
  </b:Source>
  <b:Source>
    <b:Tag>Lai18</b:Tag>
    <b:SourceType>InternetSite</b:SourceType>
    <b:Guid>{4BD7CDDB-E532-4BF7-98BB-B54B46ED0E6D}</b:Guid>
    <b:Title>Todo es Ciencia</b:Title>
    <b:Year>2018</b:Year>
    <b:Author>
      <b:Author>
        <b:NameList>
          <b:Person>
            <b:Last>Shihab</b:Last>
            <b:First>Laila</b:First>
            <b:Middle>Abu</b:Middle>
          </b:Person>
        </b:NameList>
      </b:Author>
    </b:Author>
    <b:Month>04</b:Month>
    <b:Day>25</b:Day>
    <b:URL>http://www.todoesciencia.gov.co/farmaceuticas-1</b:URL>
    <b:RefOrder>4</b:RefOrder>
  </b:Source>
  <b:Source>
    <b:Tag>Mar02</b:Tag>
    <b:SourceType>JournalArticle</b:SourceType>
    <b:Guid>{78668D8D-83EB-45DE-97D4-C4F7AAC8D82A}</b:Guid>
    <b:Author>
      <b:Author>
        <b:NameList>
          <b:Person>
            <b:Last>Marulanda</b:Last>
            <b:First>Flor</b:First>
            <b:Middle>Ángela Tobón</b:Middle>
          </b:Person>
        </b:NameList>
      </b:Author>
    </b:Author>
    <b:Title>Estudio sobre automedicación en la Universidad de Antioquia</b:Title>
    <b:Year>2002</b:Year>
    <b:JournalName>Iatreia</b:JournalName>
    <b:Pages>242-247</b:Pages>
    <b:RefOrder>5</b:RefOrder>
  </b:Source>
  <b:Source>
    <b:Tag>Car16</b:Tag>
    <b:SourceType>JournalArticle</b:SourceType>
    <b:Guid>{E021196A-E63C-48D5-911A-B2BAA87C74BC}</b:Guid>
    <b:Author>
      <b:Author>
        <b:NameList>
          <b:Person>
            <b:Last>Calderón-Ospina</b:Last>
            <b:First>Carlos</b:First>
            <b:Middle>Alberto</b:Middle>
          </b:Person>
        </b:NameList>
      </b:Author>
    </b:Author>
    <b:Title>Automedicación en estudiantes de medicina de la Universidad del Rosario en Bogotá D. C., Colombia</b:Title>
    <b:JournalName>Revista Colombiana de Ciencias Químico-Farmacéuticas </b:JournalName>
    <b:Year>2016</b:Year>
    <b:Pages>374-384</b:Pages>
    <b:RefOrder>6</b:RefOrder>
  </b:Source>
  <b:Source>
    <b:Tag>DRa06</b:Tag>
    <b:SourceType>JournalArticle</b:SourceType>
    <b:Guid>{FCBA83B3-F660-419E-8D49-9466B3135064}</b:Guid>
    <b:Author>
      <b:Author>
        <b:NameList>
          <b:Person>
            <b:Last>Puerta</b:Last>
            <b:First>D.</b:First>
            <b:Middle>Ramírez</b:Middle>
          </b:Person>
        </b:NameList>
      </b:Author>
    </b:Author>
    <b:Title>La automedicación responsable, la publicidad farmacéutica y su marco en la Atención Primaria</b:Title>
    <b:JournalName>Medicina de Familia. SEMERGEN</b:JournalName>
    <b:Year>2006</b:Year>
    <b:Pages>107-154</b:Pages>
    <b:RefOrder>7</b:RefOrder>
  </b:Source>
  <b:Source>
    <b:Tag>Mar16</b:Tag>
    <b:SourceType>InternetSite</b:SourceType>
    <b:Guid>{C310767D-9A60-4AB9-BB9B-9FF73A4B8D89}</b:Guid>
    <b:Title>América Latina en Movimiento - ALAINET</b:Title>
    <b:Year>2016</b:Year>
    <b:Author>
      <b:Author>
        <b:NameList>
          <b:Person>
            <b:Last>Rosas</b:Last>
            <b:First>María</b:First>
            <b:Middle>Cristina</b:Middle>
          </b:Person>
        </b:NameList>
      </b:Author>
    </b:Author>
    <b:Month>10</b:Month>
    <b:Day>04</b:Day>
    <b:URL>https://www.alainet.org/es/articulo/180715</b:URL>
    <b:RefOrder>8</b:RefOrder>
  </b:Source>
  <b:Source>
    <b:Tag>Cat08</b:Tag>
    <b:SourceType>InternetSite</b:SourceType>
    <b:Guid>{DD96CA25-8850-4623-8ACE-E86F19F34CF9}</b:Guid>
    <b:Author>
      <b:Author>
        <b:NameList>
          <b:Person>
            <b:Last>Acosta</b:Last>
            <b:First>Catriel</b:First>
            <b:Middle>López</b:Middle>
          </b:Person>
        </b:NameList>
      </b:Author>
    </b:Author>
    <b:Title>Agencia CyTA-Instituto Leloir</b:Title>
    <b:Year>2008</b:Year>
    <b:Month>08</b:Month>
    <b:Day>13</b:Day>
    <b:URL>https://www.agenciacyta.org.ar/2008/08/la-publicidad-potencia-la-automedicacion/</b:URL>
    <b:RefOrder>9</b:RefOrder>
  </b:Source>
  <b:Source>
    <b:Tag>For12</b:Tag>
    <b:SourceType>InternetSite</b:SourceType>
    <b:Guid>{8FA088DD-FC59-4575-BAE7-2C764B31922A}</b:Guid>
    <b:Author>
      <b:Author>
        <b:NameList>
          <b:Person>
            <b:Last>DaSilva</b:Last>
            <b:First>Santos</b:First>
            <b:Middle>M.</b:Middle>
          </b:Person>
        </b:NameList>
      </b:Author>
    </b:Author>
    <b:Title>Salud y Fármacos</b:Title>
    <b:Year>2012</b:Year>
    <b:Month>10</b:Month>
    <b:Day>12</b:Day>
    <b:URL>http://www.saludyfarmacos.org/lang/en/boletin-farmacos/boletines/feb2013/publicidad-de-medicamentos-automedicacin-y-tica-farmacutica-una-trada-farmacutica/</b:URL>
    <b:RefOrder>10</b:RefOrder>
  </b:Source>
  <b:Source>
    <b:Tag>Woo18</b:Tag>
    <b:SourceType>JournalArticle</b:SourceType>
    <b:Guid>{DF53C98E-1108-497A-9609-71FB85BAEC59}</b:Guid>
    <b:Title>El impacto de los arquetipos publicitarios en el compromiso y el comportamiento de los médicos en el contexto de los productos sanitarios</b:Title>
    <b:Year>2018</b:Year>
    <b:Author>
      <b:Author>
        <b:NameList>
          <b:Person>
            <b:Last>Woodside</b:Last>
            <b:First>Arch</b:First>
          </b:Person>
        </b:NameList>
      </b:Author>
    </b:Author>
    <b:JournalName>Psychology &amp; Marketing</b:JournalName>
    <b:Pages>533-541</b:Pages>
    <b:RefOrder>11</b:RefOrder>
  </b:Source>
  <b:Source>
    <b:Tag>Kat17</b:Tag>
    <b:SourceType>DocumentFromInternetSite</b:SourceType>
    <b:Guid>{D2B49516-5793-4C6D-A5F9-0F604217A7A7}</b:Guid>
    <b:Author>
      <b:Author>
        <b:NameList>
          <b:Person>
            <b:Last>Bravo</b:Last>
            <b:First>Katherine</b:First>
            <b:Middle>Julieth Bravo</b:Middle>
          </b:Person>
          <b:Person>
            <b:Last>Martínez</b:Last>
            <b:First>Davy</b:First>
            <b:Middle>Esteban Espinel</b:Middle>
          </b:Person>
          <b:Person>
            <b:Last>Arias</b:Last>
            <b:First>Paula</b:First>
            <b:Middle>Andrea Pardo</b:Middle>
          </b:Person>
          <b:Person>
            <b:Last>Duarte</b:Last>
            <b:First>Jessica</b:First>
            <b:Middle>Andrea Robles</b:Middle>
          </b:Person>
        </b:NameList>
      </b:Author>
    </b:Author>
    <b:Title>www.udca.edu.co</b:Title>
    <b:Year>2017</b:Year>
    <b:URL>https://repository.udca.edu.co/bitstream/11158/830/1/28-10-2017%20AUTOMEDICACION%20final.pdf</b:URL>
    <b:RefOrder>12</b:RefOrder>
  </b:Source>
  <b:Source>
    <b:Tag>Ang09</b:Tag>
    <b:SourceType>DocumentFromInternetSite</b:SourceType>
    <b:Guid>{F0CCBB2A-4695-4A3E-A8E0-9C9122862733}</b:Guid>
    <b:Author>
      <b:Author>
        <b:NameList>
          <b:Person>
            <b:Last>Murillo</b:Last>
            <b:First>Angel</b:First>
            <b:Middle>Arturo Calderon</b:Middle>
          </b:Person>
          <b:Person>
            <b:Last>Mejia</b:Last>
            <b:First>Lina</b:First>
            <b:Middle>Maria Castaño</b:Middle>
          </b:Person>
          <b:Person>
            <b:Last>Samper</b:Last>
            <b:First>Miledys</b:First>
            <b:Middle>Matilde Gomez</b:Middle>
          </b:Person>
          <b:Person>
            <b:Last>Ortiz</b:Last>
            <b:First>Doris</b:First>
            <b:Middle>Nubia Rojas</b:Middle>
          </b:Person>
          <b:Person>
            <b:Last>Restrepo</b:Last>
            <b:First>Gabriel</b:First>
            <b:Middle>Emilio Rendon</b:Middle>
          </b:Person>
          <b:Person>
            <b:Last>Álvarez</b:Last>
            <b:First>Diego</b:First>
            <b:Middle>Pineda</b:Middle>
          </b:Person>
        </b:NameList>
      </b:Author>
    </b:Author>
    <b:Title>www.unad.edu.co</b:Title>
    <b:Year>2009</b:Year>
    <b:Month>12</b:Month>
    <b:Day>7</b:Day>
    <b:URL>https://repository.unad.edu.co/bitstream/10596/1701/1/2009-09T-05.pdf</b:URL>
    <b:RefOrder>13</b:RefOrder>
  </b:Source>
  <b:Source>
    <b:Tag>Min</b:Tag>
    <b:SourceType>DocumentFromInternetSite</b:SourceType>
    <b:Guid>{F3183726-7DAF-45F8-ABD1-A3F45CFA9CA6}</b:Guid>
    <b:Author>
      <b:Author>
        <b:Corporate>Ministerio de Salud y Protección Social</b:Corporate>
      </b:Author>
    </b:Author>
    <b:URL>https://www.minsalud.gov.co/sites/rid/Lists/BibliotecaDigital/RIDE/DE/DIJ/proyecto-resolucion-trasparencia.pdf</b:URL>
    <b:RefOrder>14</b:RefOrder>
  </b:Source>
  <b:Source>
    <b:Tag>Gri10</b:Tag>
    <b:SourceType>JournalArticle</b:SourceType>
    <b:Guid>{CA6BDA4D-C979-4888-84B4-AB460EEF9A63}</b:Guid>
    <b:Title>Self-Medication with Antibiotics in Europe: A Case for Action</b:Title>
    <b:Year>2010</b:Year>
    <b:Author>
      <b:Author>
        <b:NameList>
          <b:Person>
            <b:Last>Larissa</b:Last>
            <b:First>Grigoryan</b:First>
          </b:Person>
          <b:Person>
            <b:Last>L.</b:Last>
            <b:First>Monnet</b:First>
            <b:Middle>Dominique</b:Middle>
          </b:Person>
          <b:Person>
            <b:Last>Haaijer-Ruskamp</b:Last>
            <b:First>Flora</b:First>
            <b:Middle>M.</b:Middle>
          </b:Person>
          <b:Person>
            <b:Last>Bonten</b:Last>
            <b:First>Marc</b:First>
            <b:Middle>J.M.</b:Middle>
          </b:Person>
          <b:Person>
            <b:Last>Lundborg</b:Last>
            <b:First>Stalsby</b:First>
          </b:Person>
          <b:Person>
            <b:Last>Verheij</b:Last>
            <b:First>Theo</b:First>
            <b:Middle>J.M.</b:Middle>
          </b:Person>
        </b:NameList>
      </b:Author>
    </b:Author>
    <b:JournalName> Current Drug Safety</b:JournalName>
    <b:Pages>329-332</b:Pages>
    <b:RefOrder>15</b:RefOrder>
  </b:Source>
</b:Sources>
</file>

<file path=customXml/itemProps1.xml><?xml version="1.0" encoding="utf-8"?>
<ds:datastoreItem xmlns:ds="http://schemas.openxmlformats.org/officeDocument/2006/customXml" ds:itemID="{34D8B2FF-821F-4EF3-BAAD-4F066555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6479</Words>
  <Characters>35640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bayona prieto</dc:creator>
  <cp:lastModifiedBy>Admin</cp:lastModifiedBy>
  <cp:revision>2</cp:revision>
  <cp:lastPrinted>2019-07-30T16:10:00Z</cp:lastPrinted>
  <dcterms:created xsi:type="dcterms:W3CDTF">2019-07-31T20:46:00Z</dcterms:created>
  <dcterms:modified xsi:type="dcterms:W3CDTF">2019-07-31T20:46:00Z</dcterms:modified>
</cp:coreProperties>
</file>